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69F44" w14:textId="46C9528F" w:rsidR="00B154A3" w:rsidRPr="00862D4A" w:rsidRDefault="00D930CB" w:rsidP="00C617B3">
      <w:pPr>
        <w:spacing w:line="240" w:lineRule="auto"/>
        <w:ind w:left="-426" w:right="-563"/>
        <w:jc w:val="both"/>
        <w:rPr>
          <w:rFonts w:ascii="Dubai" w:eastAsia="Times New Roman" w:hAnsi="Dubai" w:cs="Dubai"/>
          <w:b/>
          <w:bCs/>
          <w:sz w:val="32"/>
          <w:szCs w:val="32"/>
          <w:rtl/>
          <w:lang w:bidi="ar-AE"/>
        </w:rPr>
      </w:pPr>
      <w:r w:rsidRPr="00862D4A">
        <w:rPr>
          <w:rFonts w:ascii="Dubai" w:eastAsia="Times New Roman" w:hAnsi="Dubai" w:cs="Dubai"/>
          <w:b/>
          <w:bCs/>
          <w:sz w:val="32"/>
          <w:szCs w:val="32"/>
          <w:lang w:bidi="ar-AE"/>
        </w:rPr>
        <w:t xml:space="preserve"> </w:t>
      </w:r>
    </w:p>
    <w:p w14:paraId="6427EFE3" w14:textId="57FB6B48" w:rsidR="00554A3D" w:rsidRDefault="00545DE9" w:rsidP="00B2543F">
      <w:pPr>
        <w:spacing w:line="240" w:lineRule="auto"/>
        <w:ind w:left="-426" w:right="-563"/>
        <w:jc w:val="center"/>
        <w:rPr>
          <w:rFonts w:ascii="Dubai" w:hAnsi="Dubai" w:cs="Dubai"/>
          <w:b/>
          <w:bCs/>
          <w:sz w:val="48"/>
          <w:szCs w:val="48"/>
          <w:lang w:val="en-GB"/>
        </w:rPr>
      </w:pPr>
      <w:r w:rsidRPr="00862D4A">
        <w:rPr>
          <w:rFonts w:ascii="Dubai" w:hAnsi="Dubai" w:cs="Dubai"/>
          <w:b/>
          <w:bCs/>
          <w:sz w:val="48"/>
          <w:szCs w:val="48"/>
          <w:lang w:val="en-GB"/>
        </w:rPr>
        <w:t>Azizi Developments</w:t>
      </w:r>
      <w:r w:rsidR="004002E7">
        <w:rPr>
          <w:rFonts w:ascii="Dubai" w:hAnsi="Dubai" w:cs="Dubai"/>
          <w:b/>
          <w:bCs/>
          <w:sz w:val="48"/>
          <w:szCs w:val="48"/>
          <w:lang w:val="en-GB"/>
        </w:rPr>
        <w:t xml:space="preserve"> </w:t>
      </w:r>
      <w:r w:rsidR="002B0ED5">
        <w:rPr>
          <w:rFonts w:ascii="Dubai" w:hAnsi="Dubai" w:cs="Dubai"/>
          <w:b/>
          <w:bCs/>
          <w:sz w:val="48"/>
          <w:szCs w:val="48"/>
          <w:lang w:val="en-GB"/>
        </w:rPr>
        <w:t>partners</w:t>
      </w:r>
      <w:r w:rsidR="004002E7">
        <w:rPr>
          <w:rFonts w:ascii="Dubai" w:hAnsi="Dubai" w:cs="Dubai"/>
          <w:b/>
          <w:bCs/>
          <w:sz w:val="48"/>
          <w:szCs w:val="48"/>
          <w:lang w:val="en-GB"/>
        </w:rPr>
        <w:t xml:space="preserve"> with </w:t>
      </w:r>
      <w:r w:rsidR="002B0ED5">
        <w:rPr>
          <w:rFonts w:ascii="Dubai" w:hAnsi="Dubai" w:cs="Dubai"/>
          <w:b/>
          <w:bCs/>
          <w:sz w:val="48"/>
          <w:szCs w:val="48"/>
          <w:lang w:val="en-GB"/>
        </w:rPr>
        <w:t>Unigulf</w:t>
      </w:r>
      <w:r w:rsidR="004002E7">
        <w:rPr>
          <w:rFonts w:ascii="Dubai" w:hAnsi="Dubai" w:cs="Dubai"/>
          <w:b/>
          <w:bCs/>
          <w:sz w:val="48"/>
          <w:szCs w:val="48"/>
          <w:lang w:val="en-GB"/>
        </w:rPr>
        <w:t xml:space="preserve"> </w:t>
      </w:r>
      <w:r w:rsidR="002B0ED5">
        <w:rPr>
          <w:rFonts w:ascii="Dubai" w:hAnsi="Dubai" w:cs="Dubai"/>
          <w:b/>
          <w:bCs/>
          <w:sz w:val="48"/>
          <w:szCs w:val="48"/>
          <w:lang w:val="en-GB"/>
        </w:rPr>
        <w:t xml:space="preserve">Development </w:t>
      </w:r>
      <w:r w:rsidR="00066BED">
        <w:rPr>
          <w:rFonts w:ascii="Dubai" w:hAnsi="Dubai" w:cs="Dubai"/>
          <w:b/>
          <w:bCs/>
          <w:sz w:val="48"/>
          <w:szCs w:val="48"/>
          <w:lang w:val="en-GB"/>
        </w:rPr>
        <w:t xml:space="preserve">for </w:t>
      </w:r>
      <w:r w:rsidR="00EF7F84">
        <w:rPr>
          <w:rFonts w:ascii="Dubai" w:hAnsi="Dubai" w:cs="Dubai"/>
          <w:b/>
          <w:bCs/>
          <w:sz w:val="48"/>
          <w:szCs w:val="48"/>
          <w:lang w:val="en-GB"/>
        </w:rPr>
        <w:t xml:space="preserve">Azizi </w:t>
      </w:r>
      <w:r w:rsidR="00983B6F" w:rsidRPr="00862D4A">
        <w:rPr>
          <w:rFonts w:ascii="Dubai" w:hAnsi="Dubai" w:cs="Dubai"/>
          <w:b/>
          <w:bCs/>
          <w:sz w:val="48"/>
          <w:szCs w:val="48"/>
          <w:lang w:val="en-GB"/>
        </w:rPr>
        <w:t>Venice</w:t>
      </w:r>
      <w:r w:rsidR="004002E7">
        <w:rPr>
          <w:rFonts w:ascii="Dubai" w:hAnsi="Dubai" w:cs="Dubai"/>
          <w:b/>
          <w:bCs/>
          <w:sz w:val="48"/>
          <w:szCs w:val="48"/>
          <w:lang w:val="en-GB"/>
        </w:rPr>
        <w:t xml:space="preserve"> and Riviera </w:t>
      </w:r>
    </w:p>
    <w:p w14:paraId="2BA02C83" w14:textId="77777777" w:rsidR="00090E7B" w:rsidRDefault="00090E7B" w:rsidP="00E12050">
      <w:pPr>
        <w:spacing w:line="0" w:lineRule="atLeast"/>
        <w:ind w:left="-284" w:right="-421"/>
        <w:jc w:val="both"/>
        <w:rPr>
          <w:rFonts w:ascii="Dubai" w:hAnsi="Dubai" w:cs="Dubai"/>
          <w:b/>
          <w:bCs/>
          <w:sz w:val="24"/>
          <w:szCs w:val="24"/>
          <w:lang w:val="en-GB"/>
        </w:rPr>
      </w:pPr>
    </w:p>
    <w:p w14:paraId="7C444A70" w14:textId="4FEC5AB1" w:rsidR="00424712" w:rsidRPr="00424712" w:rsidRDefault="00B154A3" w:rsidP="00424712">
      <w:pPr>
        <w:spacing w:line="0" w:lineRule="atLeast"/>
        <w:ind w:left="-284" w:right="-421"/>
        <w:jc w:val="both"/>
        <w:rPr>
          <w:rFonts w:ascii="Dubai" w:hAnsi="Dubai" w:cs="Dubai"/>
          <w:sz w:val="24"/>
          <w:szCs w:val="24"/>
          <w:lang w:val="en-GB"/>
        </w:rPr>
      </w:pPr>
      <w:r w:rsidRPr="00FE4F97">
        <w:rPr>
          <w:rFonts w:ascii="Dubai" w:hAnsi="Dubai" w:cs="Dubai"/>
          <w:b/>
          <w:bCs/>
          <w:sz w:val="24"/>
          <w:szCs w:val="24"/>
          <w:lang w:val="en-GB"/>
        </w:rPr>
        <w:t xml:space="preserve">Dubai, </w:t>
      </w:r>
      <w:r w:rsidR="004002E7">
        <w:rPr>
          <w:rFonts w:ascii="Dubai" w:hAnsi="Dubai" w:cs="Dubai"/>
          <w:b/>
          <w:bCs/>
          <w:sz w:val="24"/>
          <w:szCs w:val="24"/>
          <w:lang w:val="en-GB"/>
        </w:rPr>
        <w:t xml:space="preserve">United Arab Emirates, </w:t>
      </w:r>
      <w:r w:rsidR="002B0ED5">
        <w:rPr>
          <w:rFonts w:ascii="Dubai" w:hAnsi="Dubai" w:cs="Dubai"/>
          <w:b/>
          <w:bCs/>
          <w:sz w:val="24"/>
          <w:szCs w:val="24"/>
          <w:lang w:val="en-GB"/>
        </w:rPr>
        <w:t>15</w:t>
      </w:r>
      <w:r w:rsidR="004002E7">
        <w:rPr>
          <w:rFonts w:ascii="Dubai" w:hAnsi="Dubai" w:cs="Dubai"/>
          <w:b/>
          <w:bCs/>
          <w:sz w:val="24"/>
          <w:szCs w:val="24"/>
          <w:lang w:val="en-GB"/>
        </w:rPr>
        <w:t xml:space="preserve"> July</w:t>
      </w:r>
      <w:r w:rsidR="000B08E6">
        <w:rPr>
          <w:rFonts w:ascii="Dubai" w:hAnsi="Dubai" w:cs="Dubai"/>
          <w:b/>
          <w:bCs/>
          <w:sz w:val="24"/>
          <w:szCs w:val="24"/>
          <w:lang w:val="en-GB"/>
        </w:rPr>
        <w:t xml:space="preserve"> 2024</w:t>
      </w:r>
      <w:r w:rsidRPr="00FE4F97">
        <w:rPr>
          <w:rFonts w:ascii="Dubai" w:hAnsi="Dubai" w:cs="Dubai"/>
          <w:b/>
          <w:bCs/>
          <w:sz w:val="24"/>
          <w:szCs w:val="24"/>
          <w:lang w:val="en-GB"/>
        </w:rPr>
        <w:t>:</w:t>
      </w:r>
      <w:r w:rsidRPr="00FE4F97">
        <w:rPr>
          <w:rFonts w:ascii="Dubai" w:hAnsi="Dubai" w:cs="Dubai"/>
          <w:sz w:val="24"/>
          <w:szCs w:val="24"/>
          <w:lang w:val="en-GB"/>
        </w:rPr>
        <w:t xml:space="preserve"> Azizi Developments, a leading private developer, </w:t>
      </w:r>
      <w:r w:rsidR="00560623">
        <w:rPr>
          <w:rFonts w:ascii="Dubai" w:hAnsi="Dubai" w:cs="Dubai"/>
          <w:sz w:val="24"/>
          <w:szCs w:val="24"/>
          <w:lang w:val="en-GB"/>
        </w:rPr>
        <w:t>has signed</w:t>
      </w:r>
      <w:r w:rsidR="0040552B">
        <w:rPr>
          <w:rFonts w:ascii="Dubai" w:hAnsi="Dubai" w:cs="Dubai"/>
          <w:sz w:val="24"/>
          <w:szCs w:val="24"/>
          <w:lang w:val="en-GB"/>
        </w:rPr>
        <w:t xml:space="preserve"> </w:t>
      </w:r>
      <w:r w:rsidR="00F90CC8">
        <w:rPr>
          <w:rFonts w:ascii="Dubai" w:hAnsi="Dubai" w:cs="Dubai"/>
          <w:sz w:val="24"/>
          <w:szCs w:val="24"/>
          <w:lang w:val="en-GB"/>
        </w:rPr>
        <w:t>an agreement with</w:t>
      </w:r>
      <w:r w:rsidR="0040552B">
        <w:rPr>
          <w:rFonts w:ascii="Dubai" w:hAnsi="Dubai" w:cs="Dubai"/>
          <w:sz w:val="24"/>
          <w:szCs w:val="24"/>
          <w:lang w:val="en-GB"/>
        </w:rPr>
        <w:t xml:space="preserve"> UAE-based</w:t>
      </w:r>
      <w:r w:rsidR="00AA5C7B">
        <w:rPr>
          <w:rFonts w:ascii="Dubai" w:hAnsi="Dubai" w:cs="Dubai"/>
          <w:sz w:val="24"/>
          <w:szCs w:val="24"/>
          <w:lang w:val="en-GB"/>
        </w:rPr>
        <w:t xml:space="preserve"> </w:t>
      </w:r>
      <w:r w:rsidR="00457E58">
        <w:rPr>
          <w:rFonts w:ascii="Dubai" w:hAnsi="Dubai" w:cs="Dubai"/>
          <w:sz w:val="24"/>
          <w:szCs w:val="24"/>
          <w:lang w:val="en-GB"/>
        </w:rPr>
        <w:t xml:space="preserve">company </w:t>
      </w:r>
      <w:proofErr w:type="spellStart"/>
      <w:r w:rsidR="002B0ED5">
        <w:rPr>
          <w:rFonts w:ascii="Dubai" w:hAnsi="Dubai" w:cs="Dubai"/>
          <w:sz w:val="24"/>
          <w:szCs w:val="24"/>
          <w:lang w:val="en-GB"/>
        </w:rPr>
        <w:t>Unigulf</w:t>
      </w:r>
      <w:proofErr w:type="spellEnd"/>
      <w:r w:rsidR="002B0ED5">
        <w:rPr>
          <w:rFonts w:ascii="Dubai" w:hAnsi="Dubai" w:cs="Dubai"/>
          <w:sz w:val="24"/>
          <w:szCs w:val="24"/>
          <w:lang w:val="en-GB"/>
        </w:rPr>
        <w:t xml:space="preserve"> Development</w:t>
      </w:r>
      <w:r w:rsidR="00F90CC8">
        <w:rPr>
          <w:rFonts w:ascii="Dubai" w:hAnsi="Dubai" w:cs="Dubai"/>
          <w:sz w:val="24"/>
          <w:szCs w:val="24"/>
          <w:lang w:val="en-GB"/>
        </w:rPr>
        <w:t xml:space="preserve"> </w:t>
      </w:r>
      <w:r w:rsidR="00AA5C7B">
        <w:rPr>
          <w:rFonts w:ascii="Dubai" w:hAnsi="Dubai" w:cs="Dubai"/>
          <w:sz w:val="24"/>
          <w:szCs w:val="24"/>
          <w:lang w:val="en-GB"/>
        </w:rPr>
        <w:t xml:space="preserve">for the </w:t>
      </w:r>
      <w:r w:rsidR="00090E7B">
        <w:rPr>
          <w:rFonts w:ascii="Dubai" w:hAnsi="Dubai" w:cs="Dubai"/>
          <w:sz w:val="24"/>
          <w:szCs w:val="24"/>
          <w:lang w:val="en-GB"/>
        </w:rPr>
        <w:t xml:space="preserve">supply of </w:t>
      </w:r>
      <w:r w:rsidR="00424712">
        <w:rPr>
          <w:rFonts w:ascii="Dubai" w:hAnsi="Dubai" w:cs="Dubai"/>
          <w:sz w:val="24"/>
          <w:szCs w:val="24"/>
          <w:lang w:val="en-GB"/>
        </w:rPr>
        <w:t>high-quality</w:t>
      </w:r>
      <w:r w:rsidR="00090E7B">
        <w:rPr>
          <w:rFonts w:ascii="Dubai" w:hAnsi="Dubai" w:cs="Dubai"/>
          <w:sz w:val="24"/>
          <w:szCs w:val="24"/>
          <w:lang w:val="en-GB"/>
        </w:rPr>
        <w:t xml:space="preserve"> </w:t>
      </w:r>
      <w:r w:rsidR="00424712">
        <w:rPr>
          <w:rFonts w:ascii="Dubai" w:hAnsi="Dubai" w:cs="Dubai"/>
          <w:sz w:val="24"/>
          <w:szCs w:val="24"/>
          <w:lang w:val="en-GB"/>
        </w:rPr>
        <w:t>soft thermal insulation material</w:t>
      </w:r>
      <w:r w:rsidR="00090E7B">
        <w:rPr>
          <w:rFonts w:ascii="Dubai" w:hAnsi="Dubai" w:cs="Dubai"/>
          <w:sz w:val="24"/>
          <w:szCs w:val="24"/>
          <w:lang w:val="en-GB"/>
        </w:rPr>
        <w:t xml:space="preserve"> for </w:t>
      </w:r>
      <w:r w:rsidR="000B08E6">
        <w:rPr>
          <w:rFonts w:ascii="Dubai" w:hAnsi="Dubai" w:cs="Dubai"/>
          <w:sz w:val="24"/>
          <w:szCs w:val="24"/>
          <w:lang w:val="en-GB"/>
        </w:rPr>
        <w:t xml:space="preserve">its </w:t>
      </w:r>
      <w:r w:rsidR="000B08E6" w:rsidRPr="000B08E6">
        <w:rPr>
          <w:rFonts w:ascii="Dubai" w:hAnsi="Dubai" w:cs="Dubai"/>
          <w:sz w:val="24"/>
          <w:szCs w:val="24"/>
          <w:lang w:val="en-GB"/>
        </w:rPr>
        <w:t xml:space="preserve">mixed-use </w:t>
      </w:r>
      <w:r w:rsidR="00EF281C">
        <w:rPr>
          <w:rFonts w:ascii="Dubai" w:hAnsi="Dubai" w:cs="Dubai"/>
          <w:sz w:val="24"/>
          <w:szCs w:val="24"/>
          <w:lang w:val="en-GB"/>
        </w:rPr>
        <w:t xml:space="preserve">Dubai South </w:t>
      </w:r>
      <w:r w:rsidR="000B08E6" w:rsidRPr="000B08E6">
        <w:rPr>
          <w:rFonts w:ascii="Dubai" w:hAnsi="Dubai" w:cs="Dubai"/>
          <w:sz w:val="24"/>
          <w:szCs w:val="24"/>
          <w:lang w:val="en-GB"/>
        </w:rPr>
        <w:t>developmen</w:t>
      </w:r>
      <w:r w:rsidR="000B08E6">
        <w:rPr>
          <w:rFonts w:ascii="Dubai" w:hAnsi="Dubai" w:cs="Dubai"/>
          <w:sz w:val="24"/>
          <w:szCs w:val="24"/>
          <w:lang w:val="en-GB"/>
        </w:rPr>
        <w:t>t, Azizi Venice</w:t>
      </w:r>
      <w:r w:rsidR="000E47AF">
        <w:rPr>
          <w:rFonts w:ascii="Dubai" w:hAnsi="Dubai" w:cs="Dubai"/>
          <w:sz w:val="24"/>
          <w:szCs w:val="24"/>
          <w:lang w:val="en-GB"/>
        </w:rPr>
        <w:t>,</w:t>
      </w:r>
      <w:r w:rsidR="000B08E6">
        <w:rPr>
          <w:rFonts w:ascii="Dubai" w:hAnsi="Dubai" w:cs="Dubai"/>
          <w:sz w:val="24"/>
          <w:szCs w:val="24"/>
          <w:lang w:val="en-GB"/>
        </w:rPr>
        <w:t xml:space="preserve"> </w:t>
      </w:r>
      <w:r w:rsidR="00090E7B">
        <w:rPr>
          <w:rFonts w:ascii="Dubai" w:hAnsi="Dubai" w:cs="Dubai"/>
          <w:sz w:val="24"/>
          <w:szCs w:val="24"/>
          <w:lang w:val="en-GB"/>
        </w:rPr>
        <w:t xml:space="preserve">and the fourth phase of its mega-project, Riviera, located in the heart of MBR City. </w:t>
      </w:r>
    </w:p>
    <w:p w14:paraId="1A179DA2" w14:textId="23F7426C" w:rsidR="00AB4C5A" w:rsidRDefault="00424712" w:rsidP="000526A4">
      <w:pPr>
        <w:spacing w:line="0" w:lineRule="atLeast"/>
        <w:ind w:left="-284" w:right="-421"/>
        <w:jc w:val="both"/>
        <w:rPr>
          <w:rFonts w:ascii="Dubai" w:hAnsi="Dubai" w:cs="Dubai"/>
          <w:sz w:val="24"/>
          <w:szCs w:val="24"/>
          <w:lang w:val="en-GB"/>
        </w:rPr>
      </w:pPr>
      <w:r w:rsidRPr="00424712">
        <w:rPr>
          <w:rFonts w:ascii="Dubai" w:hAnsi="Dubai" w:cs="Dubai"/>
          <w:sz w:val="24"/>
          <w:szCs w:val="24"/>
          <w:lang w:val="en-GB"/>
        </w:rPr>
        <w:t xml:space="preserve">Founded in 1998, </w:t>
      </w:r>
      <w:proofErr w:type="spellStart"/>
      <w:r w:rsidRPr="00424712">
        <w:rPr>
          <w:rFonts w:ascii="Dubai" w:hAnsi="Dubai" w:cs="Dubai"/>
          <w:sz w:val="24"/>
          <w:szCs w:val="24"/>
          <w:lang w:val="en-GB"/>
        </w:rPr>
        <w:t>Unigulf</w:t>
      </w:r>
      <w:proofErr w:type="spellEnd"/>
      <w:r w:rsidRPr="00424712">
        <w:rPr>
          <w:rFonts w:ascii="Dubai" w:hAnsi="Dubai" w:cs="Dubai"/>
          <w:sz w:val="24"/>
          <w:szCs w:val="24"/>
          <w:lang w:val="en-GB"/>
        </w:rPr>
        <w:t xml:space="preserve"> Development LLC is a </w:t>
      </w:r>
      <w:r w:rsidR="000526A4" w:rsidRPr="000526A4">
        <w:rPr>
          <w:rFonts w:ascii="Dubai" w:hAnsi="Dubai" w:cs="Dubai"/>
          <w:sz w:val="24"/>
          <w:szCs w:val="24"/>
        </w:rPr>
        <w:t xml:space="preserve">key player in sustainable solutions across renewable energy, green IT, and sustainable agriculture. The company </w:t>
      </w:r>
      <w:r w:rsidR="00CB46BF">
        <w:rPr>
          <w:rFonts w:ascii="Dubai" w:hAnsi="Dubai" w:cs="Dubai"/>
          <w:sz w:val="24"/>
          <w:szCs w:val="24"/>
        </w:rPr>
        <w:t xml:space="preserve">previously </w:t>
      </w:r>
      <w:r w:rsidR="000526A4" w:rsidRPr="000526A4">
        <w:rPr>
          <w:rFonts w:ascii="Dubai" w:hAnsi="Dubai" w:cs="Dubai"/>
          <w:sz w:val="24"/>
          <w:szCs w:val="24"/>
        </w:rPr>
        <w:t xml:space="preserve">transitioned from biomass technologies to innovative energy solutions, including a patented system for converting mechanical movement into electricity, and addresses water scarcity and promotes sustainable farming. </w:t>
      </w:r>
      <w:r w:rsidR="00CB46BF">
        <w:rPr>
          <w:rFonts w:ascii="Dubai" w:hAnsi="Dubai" w:cs="Dubai"/>
          <w:sz w:val="24"/>
          <w:szCs w:val="24"/>
        </w:rPr>
        <w:t>C</w:t>
      </w:r>
      <w:r w:rsidR="000526A4" w:rsidRPr="000526A4">
        <w:rPr>
          <w:rFonts w:ascii="Dubai" w:hAnsi="Dubai" w:cs="Dubai"/>
          <w:sz w:val="24"/>
          <w:szCs w:val="24"/>
        </w:rPr>
        <w:t>ommunity engagement and strong corporate governance reflect its commitment to a greener future.</w:t>
      </w:r>
    </w:p>
    <w:p w14:paraId="7765973A" w14:textId="4A356FB3" w:rsidR="00AA5C7B" w:rsidRDefault="00AA5C7B" w:rsidP="000526A4">
      <w:pPr>
        <w:spacing w:line="0" w:lineRule="atLeast"/>
        <w:ind w:left="-284" w:right="-421"/>
        <w:jc w:val="both"/>
        <w:rPr>
          <w:rFonts w:ascii="Dubai" w:hAnsi="Dubai" w:cs="Dubai"/>
          <w:sz w:val="24"/>
          <w:szCs w:val="24"/>
          <w:lang w:val="en-GB"/>
        </w:rPr>
      </w:pPr>
      <w:r w:rsidRPr="00AC0FE6">
        <w:rPr>
          <w:rFonts w:ascii="Dubai" w:hAnsi="Dubai" w:cs="Dubai"/>
          <w:sz w:val="24"/>
          <w:szCs w:val="24"/>
          <w:lang w:val="en-GB"/>
        </w:rPr>
        <w:t>Mr. Farhad Azizi, Chief Executive Officer of Azizi Developments, said: “</w:t>
      </w:r>
      <w:r w:rsidR="00424712" w:rsidRPr="00424712">
        <w:rPr>
          <w:rFonts w:ascii="Dubai" w:hAnsi="Dubai" w:cs="Dubai"/>
          <w:sz w:val="24"/>
          <w:szCs w:val="24"/>
          <w:lang w:val="en-GB"/>
        </w:rPr>
        <w:t xml:space="preserve">We are </w:t>
      </w:r>
      <w:r w:rsidR="00424712">
        <w:rPr>
          <w:rFonts w:ascii="Dubai" w:hAnsi="Dubai" w:cs="Dubai"/>
          <w:sz w:val="24"/>
          <w:szCs w:val="24"/>
          <w:lang w:val="en-GB"/>
        </w:rPr>
        <w:t>thrilled</w:t>
      </w:r>
      <w:r w:rsidR="00424712" w:rsidRPr="00424712">
        <w:rPr>
          <w:rFonts w:ascii="Dubai" w:hAnsi="Dubai" w:cs="Dubai"/>
          <w:sz w:val="24"/>
          <w:szCs w:val="24"/>
          <w:lang w:val="en-GB"/>
        </w:rPr>
        <w:t xml:space="preserve"> to partner with Unigulf Development LLC, whose innovative sustainable solutions align seamlessly with our vision for </w:t>
      </w:r>
      <w:r w:rsidR="00424712">
        <w:rPr>
          <w:rFonts w:ascii="Dubai" w:hAnsi="Dubai" w:cs="Dubai"/>
          <w:sz w:val="24"/>
          <w:szCs w:val="24"/>
          <w:lang w:val="en-GB"/>
        </w:rPr>
        <w:t xml:space="preserve">our mixed-use development, </w:t>
      </w:r>
      <w:r w:rsidR="00424712" w:rsidRPr="00424712">
        <w:rPr>
          <w:rFonts w:ascii="Dubai" w:hAnsi="Dubai" w:cs="Dubai"/>
          <w:sz w:val="24"/>
          <w:szCs w:val="24"/>
          <w:lang w:val="en-GB"/>
        </w:rPr>
        <w:t>Azizi Venice</w:t>
      </w:r>
      <w:r w:rsidR="00424712">
        <w:rPr>
          <w:rFonts w:ascii="Dubai" w:hAnsi="Dubai" w:cs="Dubai"/>
          <w:sz w:val="24"/>
          <w:szCs w:val="24"/>
          <w:lang w:val="en-GB"/>
        </w:rPr>
        <w:t xml:space="preserve">, </w:t>
      </w:r>
      <w:r w:rsidR="00424712" w:rsidRPr="00424712">
        <w:rPr>
          <w:rFonts w:ascii="Dubai" w:hAnsi="Dubai" w:cs="Dubai"/>
          <w:sz w:val="24"/>
          <w:szCs w:val="24"/>
          <w:lang w:val="en-GB"/>
        </w:rPr>
        <w:t xml:space="preserve">and </w:t>
      </w:r>
      <w:r w:rsidR="00424712">
        <w:rPr>
          <w:rFonts w:ascii="Dubai" w:hAnsi="Dubai" w:cs="Dubai"/>
          <w:sz w:val="24"/>
          <w:szCs w:val="24"/>
          <w:lang w:val="en-GB"/>
        </w:rPr>
        <w:t xml:space="preserve">our mega-project, </w:t>
      </w:r>
      <w:r w:rsidR="00424712" w:rsidRPr="00424712">
        <w:rPr>
          <w:rFonts w:ascii="Dubai" w:hAnsi="Dubai" w:cs="Dubai"/>
          <w:sz w:val="24"/>
          <w:szCs w:val="24"/>
          <w:lang w:val="en-GB"/>
        </w:rPr>
        <w:t>Riviera. This collaboration will elevate our projects to new heights of energy efficiency and environmental responsibility. Together, we will create iconic, eco-friendly spaces that exemplify our shared commitment to quality, excellence, and sustainable livin</w:t>
      </w:r>
      <w:r w:rsidR="00424712">
        <w:rPr>
          <w:rFonts w:ascii="Dubai" w:hAnsi="Dubai" w:cs="Dubai"/>
          <w:sz w:val="24"/>
          <w:szCs w:val="24"/>
          <w:lang w:val="en-GB"/>
        </w:rPr>
        <w:t>g.”</w:t>
      </w:r>
    </w:p>
    <w:p w14:paraId="2C8117C3" w14:textId="28BB0050" w:rsidR="000B08E6" w:rsidRPr="00B95748" w:rsidRDefault="000B08E6" w:rsidP="00013BE8">
      <w:pPr>
        <w:spacing w:line="0" w:lineRule="atLeast"/>
        <w:ind w:left="-284" w:right="-421"/>
        <w:jc w:val="both"/>
        <w:rPr>
          <w:rFonts w:ascii="Dubai" w:hAnsi="Dubai" w:cs="Dubai"/>
          <w:sz w:val="24"/>
          <w:szCs w:val="24"/>
          <w:lang w:val="en-GB"/>
        </w:rPr>
      </w:pPr>
      <w:r w:rsidRPr="00B95748">
        <w:rPr>
          <w:rFonts w:ascii="Dubai" w:hAnsi="Dubai" w:cs="Dubai"/>
          <w:sz w:val="24"/>
          <w:szCs w:val="24"/>
          <w:lang w:val="en-GB"/>
        </w:rPr>
        <w:t xml:space="preserve">Azizi Venice will comprise more than 30,000 residential units </w:t>
      </w:r>
      <w:r w:rsidR="00362966" w:rsidRPr="00B95748">
        <w:rPr>
          <w:rFonts w:ascii="Dubai" w:hAnsi="Dubai" w:cs="Dubai"/>
          <w:sz w:val="24"/>
          <w:szCs w:val="24"/>
          <w:lang w:val="en-GB"/>
        </w:rPr>
        <w:t xml:space="preserve">across </w:t>
      </w:r>
      <w:r w:rsidRPr="00B95748">
        <w:rPr>
          <w:rFonts w:ascii="Dubai" w:hAnsi="Dubai" w:cs="Dubai"/>
          <w:sz w:val="24"/>
          <w:szCs w:val="24"/>
          <w:lang w:val="en-GB"/>
        </w:rPr>
        <w:t>approximately 100 apartment complexes</w:t>
      </w:r>
      <w:r w:rsidR="00362966" w:rsidRPr="00B95748">
        <w:rPr>
          <w:rFonts w:ascii="Dubai" w:hAnsi="Dubai" w:cs="Dubai"/>
          <w:sz w:val="24"/>
          <w:szCs w:val="24"/>
          <w:lang w:val="en-GB"/>
        </w:rPr>
        <w:t>, and</w:t>
      </w:r>
      <w:r w:rsidRPr="00B95748">
        <w:rPr>
          <w:rFonts w:ascii="Dubai" w:hAnsi="Dubai" w:cs="Dubai"/>
          <w:sz w:val="24"/>
          <w:szCs w:val="24"/>
          <w:lang w:val="en-GB"/>
        </w:rPr>
        <w:t xml:space="preserve"> over 400 luxury villas and mansions</w:t>
      </w:r>
      <w:r w:rsidR="00362966" w:rsidRPr="00B95748">
        <w:rPr>
          <w:rFonts w:ascii="Dubai" w:hAnsi="Dubai" w:cs="Dubai"/>
          <w:sz w:val="24"/>
          <w:szCs w:val="24"/>
          <w:lang w:val="en-GB"/>
        </w:rPr>
        <w:t xml:space="preserve">. Azizi Developments is </w:t>
      </w:r>
      <w:r w:rsidR="00862D4A" w:rsidRPr="00B95748">
        <w:rPr>
          <w:rFonts w:ascii="Dubai" w:hAnsi="Dubai" w:cs="Dubai"/>
          <w:sz w:val="24"/>
          <w:szCs w:val="24"/>
          <w:lang w:val="en-GB"/>
        </w:rPr>
        <w:t>taking on the role</w:t>
      </w:r>
      <w:r w:rsidR="00362966" w:rsidRPr="00B95748">
        <w:rPr>
          <w:rFonts w:ascii="Dubai" w:hAnsi="Dubai" w:cs="Dubai"/>
          <w:sz w:val="24"/>
          <w:szCs w:val="24"/>
          <w:lang w:val="en-GB"/>
        </w:rPr>
        <w:t xml:space="preserve"> of master developer, in charge of constructing the buildings, roads, and all the infrastructure.</w:t>
      </w:r>
    </w:p>
    <w:p w14:paraId="638B7C9D" w14:textId="2907BD6D" w:rsidR="00983B6F" w:rsidRPr="00B95748" w:rsidRDefault="00983B6F" w:rsidP="00013BE8">
      <w:pPr>
        <w:spacing w:line="0" w:lineRule="atLeast"/>
        <w:ind w:left="-284" w:right="-421"/>
        <w:jc w:val="both"/>
        <w:rPr>
          <w:rFonts w:ascii="Dubai" w:hAnsi="Dubai" w:cs="Dubai"/>
          <w:sz w:val="24"/>
          <w:szCs w:val="24"/>
          <w:lang w:val="en-GB"/>
        </w:rPr>
      </w:pPr>
      <w:r w:rsidRPr="00B95748">
        <w:rPr>
          <w:rFonts w:ascii="Dubai" w:hAnsi="Dubai" w:cs="Dubai"/>
          <w:sz w:val="24"/>
          <w:szCs w:val="24"/>
          <w:lang w:val="en-GB"/>
        </w:rPr>
        <w:t xml:space="preserve">At the heart of Azizi Venice lies its luxurious pedestrian-friendly boulevard, which will be open-air in the winter and glass-covered in the summer to ensure a temperature-controlled space with year-round activity and visitors. Lined with three-storey buildings planned to host the world’s top retailers and brands, nightlife, and entertainment options, as well as eateries that represent a vast number of countries </w:t>
      </w:r>
      <w:r w:rsidRPr="00B95748">
        <w:rPr>
          <w:rFonts w:ascii="Dubai" w:hAnsi="Dubai" w:cs="Dubai"/>
          <w:sz w:val="24"/>
          <w:szCs w:val="24"/>
          <w:lang w:val="en-GB"/>
        </w:rPr>
        <w:lastRenderedPageBreak/>
        <w:t>from across the world, Azizi Boulevard will represent a new and unique point of interest on Dubai’s map of outstanding sights.</w:t>
      </w:r>
    </w:p>
    <w:p w14:paraId="51AF69E3" w14:textId="3A79306C" w:rsidR="00983B6F" w:rsidRPr="00B95748" w:rsidRDefault="00983B6F" w:rsidP="00013BE8">
      <w:pPr>
        <w:spacing w:line="0" w:lineRule="atLeast"/>
        <w:ind w:left="-284" w:right="-421"/>
        <w:jc w:val="both"/>
        <w:rPr>
          <w:rFonts w:ascii="Dubai" w:hAnsi="Dubai" w:cs="Dubai"/>
          <w:sz w:val="24"/>
          <w:szCs w:val="24"/>
          <w:lang w:val="en-GB"/>
        </w:rPr>
      </w:pPr>
      <w:r w:rsidRPr="00B95748">
        <w:rPr>
          <w:rFonts w:ascii="Dubai" w:hAnsi="Dubai" w:cs="Dubai"/>
          <w:sz w:val="24"/>
          <w:szCs w:val="24"/>
          <w:lang w:val="en-GB"/>
        </w:rPr>
        <w:t xml:space="preserve">Another major attraction to be developed within Azizi Venice is Azizi Opera. Located at the heart of the boulevard and built to the highest, most contemporary standards in design and architecture, Azizi Opera will become one of the most notable venues for cultural and community events in Dubai. </w:t>
      </w:r>
    </w:p>
    <w:p w14:paraId="4E0D9C45" w14:textId="77777777" w:rsidR="00090E7B" w:rsidRPr="00B95748" w:rsidRDefault="00090E7B" w:rsidP="00013BE8">
      <w:pPr>
        <w:spacing w:line="0" w:lineRule="atLeast"/>
        <w:ind w:left="-284" w:right="-421"/>
        <w:jc w:val="both"/>
        <w:rPr>
          <w:rFonts w:ascii="Dubai" w:hAnsi="Dubai" w:cs="Dubai"/>
          <w:sz w:val="24"/>
          <w:szCs w:val="24"/>
          <w:lang w:val="en-GB"/>
        </w:rPr>
      </w:pPr>
      <w:r w:rsidRPr="00B95748">
        <w:rPr>
          <w:rFonts w:ascii="Dubai" w:hAnsi="Dubai" w:cs="Dubai"/>
          <w:sz w:val="24"/>
          <w:szCs w:val="24"/>
          <w:lang w:val="en-GB"/>
        </w:rPr>
        <w:t>Riviera is part of Azizi Developments’ award-winning portfolio. It is a stylish waterfront lifestyle destination that comprises 75 mid- and high-rise buildings with approximately 16,000 residences.</w:t>
      </w:r>
    </w:p>
    <w:p w14:paraId="7B30D902" w14:textId="77777777" w:rsidR="00090E7B" w:rsidRPr="00B95748" w:rsidRDefault="00090E7B" w:rsidP="00013BE8">
      <w:pPr>
        <w:spacing w:line="0" w:lineRule="atLeast"/>
        <w:ind w:left="-284" w:right="-421"/>
        <w:jc w:val="both"/>
        <w:rPr>
          <w:rFonts w:ascii="Dubai" w:hAnsi="Dubai" w:cs="Dubai"/>
          <w:sz w:val="24"/>
          <w:szCs w:val="24"/>
          <w:lang w:val="en-GB"/>
        </w:rPr>
      </w:pPr>
      <w:r w:rsidRPr="00B95748">
        <w:rPr>
          <w:rFonts w:ascii="Dubai" w:hAnsi="Dubai" w:cs="Dubai"/>
          <w:sz w:val="24"/>
          <w:szCs w:val="24"/>
          <w:lang w:val="en-GB"/>
        </w:rPr>
        <w:t xml:space="preserve">Designed to introduce the French-Mediterranean lifestyle to Dubai, which is not merely about architectural art but also about a certain ‘joie de vivre’ — a celebration of life, an exultation of spirit, Riviera represents a new landmark destination that is both residential and commercial, with an abundance of retail space. Riviera features three districts: an extensive retail boulevard, a lagoon walk on the shores of its 2.7 km-long swimmable crystal lagoon with artisan eateries and boutiques, and Les Jardins — a vast, lush-green social space. </w:t>
      </w:r>
    </w:p>
    <w:p w14:paraId="32744154" w14:textId="77777777" w:rsidR="00090E7B" w:rsidRPr="00B95748" w:rsidRDefault="00090E7B" w:rsidP="00013BE8">
      <w:pPr>
        <w:spacing w:line="0" w:lineRule="atLeast"/>
        <w:ind w:left="-284" w:right="-421"/>
        <w:jc w:val="both"/>
        <w:rPr>
          <w:rFonts w:ascii="Dubai" w:hAnsi="Dubai" w:cs="Dubai"/>
          <w:sz w:val="24"/>
          <w:szCs w:val="24"/>
          <w:lang w:val="en-GB"/>
        </w:rPr>
      </w:pPr>
      <w:r w:rsidRPr="00B95748">
        <w:rPr>
          <w:rFonts w:ascii="Dubai" w:hAnsi="Dubai" w:cs="Dubai"/>
          <w:sz w:val="24"/>
          <w:szCs w:val="24"/>
          <w:lang w:val="en-GB"/>
        </w:rPr>
        <w:t xml:space="preserve">With its strategic location near the upcoming Meydan One Mall and the Meydan Racecourse — home of the Dubai World Cup — as well as Dubai’s most noteworthy points of interest, Riviera represents one of Azizi Developments’ most coveted projects. </w:t>
      </w:r>
    </w:p>
    <w:p w14:paraId="07AE871E" w14:textId="1513C4DE" w:rsidR="00983B6F" w:rsidRPr="00B95748" w:rsidRDefault="00983B6F" w:rsidP="00013BE8">
      <w:pPr>
        <w:spacing w:line="0" w:lineRule="atLeast"/>
        <w:ind w:left="-284" w:right="-421"/>
        <w:jc w:val="both"/>
        <w:rPr>
          <w:rFonts w:ascii="Dubai" w:hAnsi="Dubai" w:cs="Dubai"/>
          <w:sz w:val="24"/>
          <w:szCs w:val="24"/>
          <w:lang w:val="en-GB"/>
        </w:rPr>
      </w:pPr>
      <w:r w:rsidRPr="00B95748">
        <w:rPr>
          <w:rFonts w:ascii="Dubai" w:hAnsi="Dubai" w:cs="Dubai"/>
          <w:sz w:val="24"/>
          <w:szCs w:val="24"/>
          <w:lang w:val="en-GB"/>
        </w:rPr>
        <w:t>Azizi Developments’ Sales Gallery can be visited on the 13th floor of the Conrad Hotel on Sheikh Zayed Road.</w:t>
      </w:r>
    </w:p>
    <w:p w14:paraId="2ED0E243" w14:textId="10D90A88" w:rsidR="00D808C2" w:rsidRDefault="00983B6F" w:rsidP="00B2543F">
      <w:pPr>
        <w:ind w:right="-138"/>
        <w:jc w:val="center"/>
        <w:rPr>
          <w:rFonts w:eastAsia="Calibri" w:cstheme="minorHAnsi"/>
          <w:b/>
          <w:bCs/>
          <w:sz w:val="20"/>
          <w:szCs w:val="20"/>
          <w:lang w:val="en-GB"/>
        </w:rPr>
      </w:pPr>
      <w:r w:rsidRPr="00B95748">
        <w:rPr>
          <w:rFonts w:ascii="Dubai" w:hAnsi="Dubai" w:cs="Dubai"/>
          <w:b/>
          <w:bCs/>
          <w:sz w:val="24"/>
          <w:szCs w:val="24"/>
          <w:lang w:val="en-GB"/>
        </w:rPr>
        <w:t>-ENDS-</w:t>
      </w:r>
    </w:p>
    <w:p w14:paraId="2D2C9053" w14:textId="68A7A115" w:rsidR="00D808C2" w:rsidRDefault="00D808C2" w:rsidP="00983B6F">
      <w:pPr>
        <w:rPr>
          <w:rFonts w:eastAsia="Calibri" w:cstheme="minorHAnsi"/>
          <w:b/>
          <w:bCs/>
          <w:sz w:val="20"/>
          <w:szCs w:val="20"/>
          <w:lang w:val="en-GB"/>
        </w:rPr>
      </w:pPr>
    </w:p>
    <w:p w14:paraId="3F561646" w14:textId="77777777" w:rsidR="00A67A6A" w:rsidRDefault="00A67A6A" w:rsidP="00983B6F">
      <w:pPr>
        <w:rPr>
          <w:rFonts w:eastAsia="Calibri" w:cstheme="minorHAnsi"/>
          <w:b/>
          <w:bCs/>
          <w:sz w:val="20"/>
          <w:szCs w:val="20"/>
          <w:lang w:val="en-GB"/>
        </w:rPr>
      </w:pPr>
    </w:p>
    <w:p w14:paraId="768D4F2F" w14:textId="77777777" w:rsidR="006324D3" w:rsidRDefault="006324D3" w:rsidP="00983B6F">
      <w:pPr>
        <w:rPr>
          <w:rFonts w:eastAsia="Calibri" w:cstheme="minorHAnsi"/>
          <w:b/>
          <w:bCs/>
          <w:sz w:val="20"/>
          <w:szCs w:val="20"/>
          <w:lang w:val="en-GB"/>
        </w:rPr>
      </w:pPr>
    </w:p>
    <w:p w14:paraId="465ACCA2" w14:textId="77777777" w:rsidR="009554EF" w:rsidRDefault="009554EF">
      <w:pPr>
        <w:spacing w:after="160" w:line="259" w:lineRule="auto"/>
        <w:rPr>
          <w:rFonts w:eastAsia="Calibri" w:cstheme="minorHAnsi"/>
          <w:b/>
          <w:bCs/>
          <w:sz w:val="20"/>
          <w:szCs w:val="20"/>
          <w:lang w:val="en-GB"/>
        </w:rPr>
      </w:pPr>
      <w:r>
        <w:rPr>
          <w:rFonts w:eastAsia="Calibri" w:cstheme="minorHAnsi"/>
          <w:b/>
          <w:bCs/>
          <w:sz w:val="20"/>
          <w:szCs w:val="20"/>
          <w:lang w:val="en-GB"/>
        </w:rPr>
        <w:br w:type="page"/>
      </w:r>
    </w:p>
    <w:p w14:paraId="54BE5576" w14:textId="53C84DBA" w:rsidR="00983B6F" w:rsidRPr="00A6138F" w:rsidRDefault="00983B6F" w:rsidP="00983B6F">
      <w:pPr>
        <w:rPr>
          <w:rFonts w:eastAsia="Calibri" w:cstheme="minorHAnsi"/>
          <w:b/>
          <w:bCs/>
          <w:sz w:val="20"/>
          <w:szCs w:val="20"/>
          <w:lang w:val="en-GB"/>
        </w:rPr>
      </w:pPr>
      <w:r w:rsidRPr="00A6138F">
        <w:rPr>
          <w:rFonts w:eastAsia="Calibri" w:cstheme="minorHAnsi"/>
          <w:b/>
          <w:bCs/>
          <w:sz w:val="20"/>
          <w:szCs w:val="20"/>
          <w:lang w:val="en-GB"/>
        </w:rPr>
        <w:lastRenderedPageBreak/>
        <w:t>About Azizi Developments</w:t>
      </w:r>
    </w:p>
    <w:p w14:paraId="24E16417" w14:textId="77777777" w:rsidR="00983B6F" w:rsidRPr="00A6138F" w:rsidRDefault="00983B6F" w:rsidP="00983B6F">
      <w:pPr>
        <w:jc w:val="both"/>
        <w:rPr>
          <w:rFonts w:eastAsia="Calibri" w:cstheme="minorHAnsi"/>
          <w:sz w:val="20"/>
          <w:szCs w:val="20"/>
          <w:lang w:val="en-GB"/>
        </w:rPr>
      </w:pPr>
      <w:r w:rsidRPr="00A6138F">
        <w:rPr>
          <w:rFonts w:eastAsia="Calibri" w:cstheme="minorHAnsi"/>
          <w:sz w:val="20"/>
          <w:szCs w:val="20"/>
          <w:lang w:val="en-GB"/>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w:t>
      </w:r>
      <w:proofErr w:type="spellStart"/>
      <w:r w:rsidRPr="00A6138F">
        <w:rPr>
          <w:rFonts w:eastAsia="Calibri" w:cstheme="minorHAnsi"/>
          <w:sz w:val="20"/>
          <w:szCs w:val="20"/>
          <w:lang w:val="en-GB"/>
        </w:rPr>
        <w:t>catalyzing</w:t>
      </w:r>
      <w:proofErr w:type="spellEnd"/>
      <w:r w:rsidRPr="00A6138F">
        <w:rPr>
          <w:rFonts w:eastAsia="Calibri" w:cstheme="minorHAnsi"/>
          <w:sz w:val="20"/>
          <w:szCs w:val="20"/>
          <w:lang w:val="en-GB"/>
        </w:rPr>
        <w:t xml:space="preserve"> the vision and development of the markets that it operates in. </w:t>
      </w:r>
    </w:p>
    <w:p w14:paraId="75C9801F" w14:textId="77777777" w:rsidR="00983B6F" w:rsidRPr="00E071D3" w:rsidRDefault="00983B6F" w:rsidP="00983B6F">
      <w:pPr>
        <w:jc w:val="both"/>
        <w:rPr>
          <w:rFonts w:eastAsia="Calibri" w:cstheme="minorHAnsi"/>
          <w:sz w:val="20"/>
          <w:szCs w:val="20"/>
          <w:lang w:val="en-GB"/>
        </w:rPr>
      </w:pPr>
      <w:r w:rsidRPr="00E071D3">
        <w:rPr>
          <w:rFonts w:eastAsia="Calibri" w:cstheme="minorHAnsi"/>
          <w:sz w:val="20"/>
          <w:szCs w:val="20"/>
          <w:lang w:val="en-GB"/>
        </w:rPr>
        <w:t>Azizi currently has around 40,000 units under construction that are projected to be delivered by 2027, worth several billion US dollars. The company is renowned for developing the world’s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4E452730" w14:textId="77777777" w:rsidR="00983B6F" w:rsidRPr="00A6138F" w:rsidRDefault="00983B6F" w:rsidP="00983B6F">
      <w:pPr>
        <w:rPr>
          <w:rFonts w:eastAsia="Calibri" w:cstheme="minorHAnsi"/>
          <w:b/>
          <w:bCs/>
          <w:sz w:val="20"/>
          <w:szCs w:val="20"/>
          <w:lang w:val="en-GB"/>
        </w:rPr>
      </w:pPr>
      <w:r w:rsidRPr="00A6138F">
        <w:rPr>
          <w:rFonts w:eastAsia="Calibri" w:cstheme="minorHAnsi"/>
          <w:b/>
          <w:bCs/>
          <w:sz w:val="20"/>
          <w:szCs w:val="20"/>
          <w:lang w:val="en-GB"/>
        </w:rPr>
        <w:t xml:space="preserve">For further information about Azizi Developments, please contact: </w:t>
      </w:r>
    </w:p>
    <w:p w14:paraId="4DFD3514" w14:textId="77777777" w:rsidR="00983B6F" w:rsidRPr="00A6138F" w:rsidRDefault="00983B6F" w:rsidP="00983B6F">
      <w:pPr>
        <w:jc w:val="both"/>
        <w:rPr>
          <w:rFonts w:eastAsia="Calibri" w:cstheme="minorHAnsi"/>
          <w:sz w:val="20"/>
          <w:szCs w:val="20"/>
          <w:lang w:val="en-GB"/>
        </w:rPr>
      </w:pPr>
      <w:r w:rsidRPr="00A6138F">
        <w:rPr>
          <w:rFonts w:eastAsia="Calibri" w:cstheme="minorHAnsi"/>
          <w:sz w:val="20"/>
          <w:szCs w:val="20"/>
          <w:lang w:val="en-GB"/>
        </w:rPr>
        <w:t>Tizian H. G. Raab</w:t>
      </w:r>
    </w:p>
    <w:p w14:paraId="05EA158A" w14:textId="7175B3BB" w:rsidR="00983B6F" w:rsidRPr="00A6138F" w:rsidRDefault="00983B6F" w:rsidP="00983B6F">
      <w:pPr>
        <w:jc w:val="both"/>
        <w:rPr>
          <w:rFonts w:eastAsia="Calibri" w:cstheme="minorHAnsi"/>
          <w:sz w:val="20"/>
          <w:szCs w:val="20"/>
          <w:lang w:val="en-GB"/>
        </w:rPr>
      </w:pPr>
      <w:r w:rsidRPr="00A6138F">
        <w:rPr>
          <w:rFonts w:eastAsia="Calibri" w:cstheme="minorHAnsi"/>
          <w:sz w:val="20"/>
          <w:szCs w:val="20"/>
          <w:lang w:val="en-GB"/>
        </w:rPr>
        <w:t xml:space="preserve">Head of Public Relations and Communications, CEO’s </w:t>
      </w:r>
      <w:proofErr w:type="spellStart"/>
      <w:r w:rsidRPr="00A6138F">
        <w:rPr>
          <w:rFonts w:eastAsia="Calibri" w:cstheme="minorHAnsi"/>
          <w:sz w:val="20"/>
          <w:szCs w:val="20"/>
          <w:lang w:val="en-GB"/>
        </w:rPr>
        <w:t>Offic</w:t>
      </w:r>
      <w:proofErr w:type="spellEnd"/>
    </w:p>
    <w:p w14:paraId="0048F760" w14:textId="77777777" w:rsidR="00983B6F" w:rsidRPr="00A6138F" w:rsidRDefault="00983B6F" w:rsidP="00983B6F">
      <w:pPr>
        <w:jc w:val="both"/>
        <w:rPr>
          <w:rFonts w:eastAsia="Calibri" w:cstheme="minorHAnsi"/>
          <w:sz w:val="20"/>
          <w:szCs w:val="20"/>
          <w:lang w:val="en-GB"/>
        </w:rPr>
      </w:pPr>
      <w:r w:rsidRPr="00A6138F">
        <w:rPr>
          <w:rFonts w:eastAsia="Calibri" w:cstheme="minorHAnsi"/>
          <w:sz w:val="20"/>
          <w:szCs w:val="20"/>
          <w:lang w:val="en-GB"/>
        </w:rPr>
        <w:t xml:space="preserve">M: +971 55 867 3606 </w:t>
      </w:r>
    </w:p>
    <w:p w14:paraId="05BDF32A" w14:textId="04E035B6" w:rsidR="00F35981" w:rsidRPr="008A55FF" w:rsidRDefault="00983B6F" w:rsidP="00B2543F">
      <w:pPr>
        <w:jc w:val="both"/>
        <w:rPr>
          <w:rFonts w:ascii="Dubai" w:hAnsi="Dubai" w:cs="Dubai"/>
        </w:rPr>
      </w:pPr>
      <w:r w:rsidRPr="00A6138F">
        <w:rPr>
          <w:rFonts w:eastAsia="Calibri" w:cstheme="minorHAnsi"/>
          <w:sz w:val="20"/>
          <w:szCs w:val="20"/>
          <w:lang w:val="en-GB"/>
        </w:rPr>
        <w:t xml:space="preserve">Email: </w:t>
      </w:r>
      <w:hyperlink r:id="rId8" w:history="1">
        <w:r w:rsidRPr="00983B6F">
          <w:rPr>
            <w:rStyle w:val="Hyperlink"/>
            <w:rFonts w:eastAsia="Calibri" w:cstheme="minorHAnsi"/>
            <w:sz w:val="20"/>
            <w:szCs w:val="20"/>
            <w:lang w:val="en-GB"/>
          </w:rPr>
          <w:t>tizian@azizidevelopments.com</w:t>
        </w:r>
      </w:hyperlink>
      <w:r>
        <w:rPr>
          <w:rFonts w:eastAsia="Calibri" w:cstheme="minorHAnsi"/>
          <w:sz w:val="20"/>
          <w:szCs w:val="20"/>
          <w:lang w:val="en-GB"/>
        </w:rPr>
        <w:t xml:space="preserve">  </w:t>
      </w:r>
    </w:p>
    <w:sectPr w:rsidR="00F35981" w:rsidRPr="008A55F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2332D" w14:textId="77777777" w:rsidR="00E0204A" w:rsidRDefault="00E0204A">
      <w:pPr>
        <w:spacing w:after="0" w:line="240" w:lineRule="auto"/>
      </w:pPr>
      <w:r>
        <w:separator/>
      </w:r>
    </w:p>
  </w:endnote>
  <w:endnote w:type="continuationSeparator" w:id="0">
    <w:p w14:paraId="06558EA6" w14:textId="77777777" w:rsidR="00E0204A" w:rsidRDefault="00E020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D8D67" w14:textId="77777777" w:rsidR="00E0204A" w:rsidRDefault="00E0204A">
      <w:pPr>
        <w:spacing w:after="0" w:line="240" w:lineRule="auto"/>
      </w:pPr>
      <w:r>
        <w:separator/>
      </w:r>
    </w:p>
  </w:footnote>
  <w:footnote w:type="continuationSeparator" w:id="0">
    <w:p w14:paraId="61DD3709" w14:textId="77777777" w:rsidR="00E0204A" w:rsidRDefault="00E020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67E2E" w14:textId="2707D45D" w:rsidR="00785210" w:rsidRDefault="00615B50">
    <w:pPr>
      <w:pStyle w:val="Header"/>
    </w:pPr>
    <w:r w:rsidRPr="00D73D71">
      <w:rPr>
        <w:noProof/>
      </w:rPr>
      <w:drawing>
        <wp:anchor distT="0" distB="0" distL="114300" distR="114300" simplePos="0" relativeHeight="251659264" behindDoc="0" locked="0" layoutInCell="1" allowOverlap="1" wp14:anchorId="2577B354" wp14:editId="2E800E0F">
          <wp:simplePos x="0" y="0"/>
          <wp:positionH relativeFrom="column">
            <wp:posOffset>5168900</wp:posOffset>
          </wp:positionH>
          <wp:positionV relativeFrom="paragraph">
            <wp:posOffset>-31326</wp:posOffset>
          </wp:positionV>
          <wp:extent cx="1438275" cy="3619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1">
                    <a:extLst>
                      <a:ext uri="{28A0092B-C50C-407E-A947-70E740481C1C}">
                        <a14:useLocalDpi xmlns:a14="http://schemas.microsoft.com/office/drawing/2010/main" val="0"/>
                      </a:ext>
                    </a:extLst>
                  </a:blip>
                  <a:srcRect l="19843" t="39222" r="21496" b="41574"/>
                  <a:stretch/>
                </pic:blipFill>
                <pic:spPr bwMode="auto">
                  <a:xfrm>
                    <a:off x="0" y="0"/>
                    <a:ext cx="1438275" cy="361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154A3">
      <w:rPr>
        <w:noProof/>
      </w:rPr>
      <w:drawing>
        <wp:anchor distT="0" distB="0" distL="114300" distR="114300" simplePos="0" relativeHeight="251660288" behindDoc="0" locked="0" layoutInCell="1" allowOverlap="1" wp14:anchorId="798480B5" wp14:editId="1B99BFC8">
          <wp:simplePos x="0" y="0"/>
          <wp:positionH relativeFrom="column">
            <wp:posOffset>-704850</wp:posOffset>
          </wp:positionH>
          <wp:positionV relativeFrom="paragraph">
            <wp:posOffset>-78317</wp:posOffset>
          </wp:positionV>
          <wp:extent cx="1682750" cy="45085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2750" cy="45085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F67F9B"/>
    <w:multiLevelType w:val="hybridMultilevel"/>
    <w:tmpl w:val="55DAF068"/>
    <w:lvl w:ilvl="0" w:tplc="B49665F8">
      <w:numFmt w:val="bullet"/>
      <w:lvlText w:val="-"/>
      <w:lvlJc w:val="left"/>
      <w:pPr>
        <w:ind w:left="-66" w:hanging="36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num w:numId="1" w16cid:durableId="772941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M0tzQwsTA1MDI3NjZR0lEKTi0uzszPAykwqwUAd/VOCSwAAAA="/>
  </w:docVars>
  <w:rsids>
    <w:rsidRoot w:val="00B154A3"/>
    <w:rsid w:val="00013BE8"/>
    <w:rsid w:val="00014E6E"/>
    <w:rsid w:val="000167DC"/>
    <w:rsid w:val="00022093"/>
    <w:rsid w:val="00025C0F"/>
    <w:rsid w:val="000316C3"/>
    <w:rsid w:val="000526A4"/>
    <w:rsid w:val="00065715"/>
    <w:rsid w:val="00066ABA"/>
    <w:rsid w:val="00066BED"/>
    <w:rsid w:val="00072B9B"/>
    <w:rsid w:val="00073500"/>
    <w:rsid w:val="0008049A"/>
    <w:rsid w:val="0009002A"/>
    <w:rsid w:val="00090926"/>
    <w:rsid w:val="00090E7B"/>
    <w:rsid w:val="000B08E6"/>
    <w:rsid w:val="000B4F9E"/>
    <w:rsid w:val="000D033C"/>
    <w:rsid w:val="000E47AF"/>
    <w:rsid w:val="000F4EC7"/>
    <w:rsid w:val="00112E9F"/>
    <w:rsid w:val="00117F19"/>
    <w:rsid w:val="001225E2"/>
    <w:rsid w:val="00135F21"/>
    <w:rsid w:val="0014603B"/>
    <w:rsid w:val="00150958"/>
    <w:rsid w:val="00172D6A"/>
    <w:rsid w:val="00180858"/>
    <w:rsid w:val="00184FE8"/>
    <w:rsid w:val="001B6FDB"/>
    <w:rsid w:val="001C0489"/>
    <w:rsid w:val="001C04BC"/>
    <w:rsid w:val="001C123D"/>
    <w:rsid w:val="001E3477"/>
    <w:rsid w:val="00204233"/>
    <w:rsid w:val="00251BF3"/>
    <w:rsid w:val="002556E2"/>
    <w:rsid w:val="002631FE"/>
    <w:rsid w:val="002725AE"/>
    <w:rsid w:val="0028065C"/>
    <w:rsid w:val="00290D28"/>
    <w:rsid w:val="002B0ED5"/>
    <w:rsid w:val="002B627B"/>
    <w:rsid w:val="002D628A"/>
    <w:rsid w:val="002F62D0"/>
    <w:rsid w:val="002F6337"/>
    <w:rsid w:val="00306347"/>
    <w:rsid w:val="00307E5E"/>
    <w:rsid w:val="00310991"/>
    <w:rsid w:val="00331583"/>
    <w:rsid w:val="00345240"/>
    <w:rsid w:val="003502EF"/>
    <w:rsid w:val="00362966"/>
    <w:rsid w:val="00364685"/>
    <w:rsid w:val="00366AB4"/>
    <w:rsid w:val="00367101"/>
    <w:rsid w:val="003A16A9"/>
    <w:rsid w:val="003B59E7"/>
    <w:rsid w:val="003B5E6E"/>
    <w:rsid w:val="003B7B13"/>
    <w:rsid w:val="003C3FD9"/>
    <w:rsid w:val="003F7928"/>
    <w:rsid w:val="004002E7"/>
    <w:rsid w:val="0040552B"/>
    <w:rsid w:val="0042398F"/>
    <w:rsid w:val="00424712"/>
    <w:rsid w:val="004318C5"/>
    <w:rsid w:val="004553E3"/>
    <w:rsid w:val="00457E58"/>
    <w:rsid w:val="00474912"/>
    <w:rsid w:val="00495A1B"/>
    <w:rsid w:val="004D1FB7"/>
    <w:rsid w:val="004D24AB"/>
    <w:rsid w:val="004D5562"/>
    <w:rsid w:val="004E0DB6"/>
    <w:rsid w:val="004F337F"/>
    <w:rsid w:val="004F64F3"/>
    <w:rsid w:val="00545DE9"/>
    <w:rsid w:val="00552960"/>
    <w:rsid w:val="00554A3D"/>
    <w:rsid w:val="00560623"/>
    <w:rsid w:val="005A543F"/>
    <w:rsid w:val="005B1088"/>
    <w:rsid w:val="005B5819"/>
    <w:rsid w:val="005B7840"/>
    <w:rsid w:val="005C6BE5"/>
    <w:rsid w:val="005D4020"/>
    <w:rsid w:val="005D6BEC"/>
    <w:rsid w:val="005E7D8C"/>
    <w:rsid w:val="005F4A43"/>
    <w:rsid w:val="0060421B"/>
    <w:rsid w:val="00607BF0"/>
    <w:rsid w:val="00615B50"/>
    <w:rsid w:val="00620749"/>
    <w:rsid w:val="00624797"/>
    <w:rsid w:val="006324D3"/>
    <w:rsid w:val="00635E11"/>
    <w:rsid w:val="006423E4"/>
    <w:rsid w:val="00647E5F"/>
    <w:rsid w:val="006566A0"/>
    <w:rsid w:val="00656D01"/>
    <w:rsid w:val="006620B3"/>
    <w:rsid w:val="00672824"/>
    <w:rsid w:val="006819BD"/>
    <w:rsid w:val="00693FB0"/>
    <w:rsid w:val="006D2E0C"/>
    <w:rsid w:val="00711C4B"/>
    <w:rsid w:val="0072227B"/>
    <w:rsid w:val="00761A58"/>
    <w:rsid w:val="007659DF"/>
    <w:rsid w:val="00781290"/>
    <w:rsid w:val="00785210"/>
    <w:rsid w:val="007925F8"/>
    <w:rsid w:val="0079345C"/>
    <w:rsid w:val="007B3305"/>
    <w:rsid w:val="007D5D01"/>
    <w:rsid w:val="007E10B7"/>
    <w:rsid w:val="007F1397"/>
    <w:rsid w:val="008222BD"/>
    <w:rsid w:val="00831ABD"/>
    <w:rsid w:val="00852484"/>
    <w:rsid w:val="00855CF1"/>
    <w:rsid w:val="00856D90"/>
    <w:rsid w:val="00862D4A"/>
    <w:rsid w:val="00880A47"/>
    <w:rsid w:val="008837AA"/>
    <w:rsid w:val="008A21EE"/>
    <w:rsid w:val="008A55FF"/>
    <w:rsid w:val="008D15BA"/>
    <w:rsid w:val="008D6AE1"/>
    <w:rsid w:val="008E109D"/>
    <w:rsid w:val="008E3F8C"/>
    <w:rsid w:val="008F0817"/>
    <w:rsid w:val="008F76DB"/>
    <w:rsid w:val="0090392B"/>
    <w:rsid w:val="00911EBA"/>
    <w:rsid w:val="0095172B"/>
    <w:rsid w:val="009554EF"/>
    <w:rsid w:val="009571DE"/>
    <w:rsid w:val="0096420F"/>
    <w:rsid w:val="00983B6F"/>
    <w:rsid w:val="00A17A94"/>
    <w:rsid w:val="00A23190"/>
    <w:rsid w:val="00A24494"/>
    <w:rsid w:val="00A249FA"/>
    <w:rsid w:val="00A27E5F"/>
    <w:rsid w:val="00A4431B"/>
    <w:rsid w:val="00A507C8"/>
    <w:rsid w:val="00A61D80"/>
    <w:rsid w:val="00A67A6A"/>
    <w:rsid w:val="00A77CA2"/>
    <w:rsid w:val="00A906A7"/>
    <w:rsid w:val="00AA5C7B"/>
    <w:rsid w:val="00AB4C5A"/>
    <w:rsid w:val="00AC0FE6"/>
    <w:rsid w:val="00AC16B5"/>
    <w:rsid w:val="00AD065F"/>
    <w:rsid w:val="00AE13B3"/>
    <w:rsid w:val="00AF4D03"/>
    <w:rsid w:val="00B154A3"/>
    <w:rsid w:val="00B2543F"/>
    <w:rsid w:val="00B26520"/>
    <w:rsid w:val="00B6257F"/>
    <w:rsid w:val="00B63EB4"/>
    <w:rsid w:val="00B643BA"/>
    <w:rsid w:val="00B65C59"/>
    <w:rsid w:val="00B95748"/>
    <w:rsid w:val="00BA5311"/>
    <w:rsid w:val="00C02F88"/>
    <w:rsid w:val="00C32981"/>
    <w:rsid w:val="00C373F3"/>
    <w:rsid w:val="00C46FA8"/>
    <w:rsid w:val="00C60FE4"/>
    <w:rsid w:val="00C617B3"/>
    <w:rsid w:val="00C659BE"/>
    <w:rsid w:val="00C66B5C"/>
    <w:rsid w:val="00C706C4"/>
    <w:rsid w:val="00CA43FD"/>
    <w:rsid w:val="00CB46BF"/>
    <w:rsid w:val="00CC670E"/>
    <w:rsid w:val="00CC77DA"/>
    <w:rsid w:val="00D1690E"/>
    <w:rsid w:val="00D1788F"/>
    <w:rsid w:val="00D3551E"/>
    <w:rsid w:val="00D43F5B"/>
    <w:rsid w:val="00D464C7"/>
    <w:rsid w:val="00D4777B"/>
    <w:rsid w:val="00D808C2"/>
    <w:rsid w:val="00D81369"/>
    <w:rsid w:val="00D84189"/>
    <w:rsid w:val="00D930CB"/>
    <w:rsid w:val="00DA00F4"/>
    <w:rsid w:val="00DA5850"/>
    <w:rsid w:val="00DE389D"/>
    <w:rsid w:val="00DF1040"/>
    <w:rsid w:val="00DF7392"/>
    <w:rsid w:val="00E0204A"/>
    <w:rsid w:val="00E03AF0"/>
    <w:rsid w:val="00E064C0"/>
    <w:rsid w:val="00E109CA"/>
    <w:rsid w:val="00E12050"/>
    <w:rsid w:val="00E25E81"/>
    <w:rsid w:val="00E32E1B"/>
    <w:rsid w:val="00E33C0A"/>
    <w:rsid w:val="00E370C7"/>
    <w:rsid w:val="00E4284A"/>
    <w:rsid w:val="00E562E9"/>
    <w:rsid w:val="00E749F8"/>
    <w:rsid w:val="00E836EE"/>
    <w:rsid w:val="00E942D2"/>
    <w:rsid w:val="00EA402B"/>
    <w:rsid w:val="00EA6614"/>
    <w:rsid w:val="00EE35F9"/>
    <w:rsid w:val="00EE5369"/>
    <w:rsid w:val="00EE6F8B"/>
    <w:rsid w:val="00EE7B7F"/>
    <w:rsid w:val="00EF281C"/>
    <w:rsid w:val="00EF7DEF"/>
    <w:rsid w:val="00EF7F84"/>
    <w:rsid w:val="00F003F5"/>
    <w:rsid w:val="00F01CB9"/>
    <w:rsid w:val="00F0370E"/>
    <w:rsid w:val="00F11B98"/>
    <w:rsid w:val="00F130BB"/>
    <w:rsid w:val="00F2758E"/>
    <w:rsid w:val="00F278AE"/>
    <w:rsid w:val="00F35981"/>
    <w:rsid w:val="00F53B25"/>
    <w:rsid w:val="00F60F98"/>
    <w:rsid w:val="00F627E4"/>
    <w:rsid w:val="00F64E56"/>
    <w:rsid w:val="00F90CC8"/>
    <w:rsid w:val="00FC4E6C"/>
    <w:rsid w:val="00FE4F97"/>
    <w:rsid w:val="00FE5774"/>
    <w:rsid w:val="00FE7DCF"/>
    <w:rsid w:val="00FF4433"/>
    <w:rsid w:val="00FF6E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0DC3E6"/>
  <w15:chartTrackingRefBased/>
  <w15:docId w15:val="{0292C348-4A75-4A4F-962C-FD61A410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4A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5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4A3"/>
  </w:style>
  <w:style w:type="character" w:styleId="Hyperlink">
    <w:name w:val="Hyperlink"/>
    <w:basedOn w:val="DefaultParagraphFont"/>
    <w:uiPriority w:val="99"/>
    <w:unhideWhenUsed/>
    <w:rsid w:val="00B154A3"/>
    <w:rPr>
      <w:color w:val="0563C1" w:themeColor="hyperlink"/>
      <w:u w:val="single"/>
    </w:rPr>
  </w:style>
  <w:style w:type="character" w:customStyle="1" w:styleId="UnresolvedMention1">
    <w:name w:val="Unresolved Mention1"/>
    <w:basedOn w:val="DefaultParagraphFont"/>
    <w:uiPriority w:val="99"/>
    <w:semiHidden/>
    <w:unhideWhenUsed/>
    <w:rsid w:val="00EA402B"/>
    <w:rPr>
      <w:color w:val="605E5C"/>
      <w:shd w:val="clear" w:color="auto" w:fill="E1DFDD"/>
    </w:rPr>
  </w:style>
  <w:style w:type="paragraph" w:styleId="Footer">
    <w:name w:val="footer"/>
    <w:basedOn w:val="Normal"/>
    <w:link w:val="FooterChar"/>
    <w:uiPriority w:val="99"/>
    <w:unhideWhenUsed/>
    <w:rsid w:val="00C617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7B3"/>
  </w:style>
  <w:style w:type="paragraph" w:styleId="Revision">
    <w:name w:val="Revision"/>
    <w:hidden/>
    <w:uiPriority w:val="99"/>
    <w:semiHidden/>
    <w:rsid w:val="00620749"/>
    <w:pPr>
      <w:spacing w:after="0" w:line="240" w:lineRule="auto"/>
    </w:pPr>
  </w:style>
  <w:style w:type="paragraph" w:styleId="ListParagraph">
    <w:name w:val="List Paragraph"/>
    <w:basedOn w:val="Normal"/>
    <w:uiPriority w:val="34"/>
    <w:qFormat/>
    <w:rsid w:val="003502EF"/>
    <w:pPr>
      <w:ind w:left="720"/>
      <w:contextualSpacing/>
    </w:pPr>
  </w:style>
  <w:style w:type="character" w:styleId="UnresolvedMention">
    <w:name w:val="Unresolved Mention"/>
    <w:basedOn w:val="DefaultParagraphFont"/>
    <w:uiPriority w:val="99"/>
    <w:semiHidden/>
    <w:unhideWhenUsed/>
    <w:rsid w:val="00EF7DEF"/>
    <w:rPr>
      <w:color w:val="605E5C"/>
      <w:shd w:val="clear" w:color="auto" w:fill="E1DFDD"/>
    </w:rPr>
  </w:style>
  <w:style w:type="paragraph" w:customStyle="1" w:styleId="xmsonormal">
    <w:name w:val="x_msonormal"/>
    <w:basedOn w:val="Normal"/>
    <w:rsid w:val="00066BED"/>
    <w:pPr>
      <w:spacing w:before="100" w:beforeAutospacing="1" w:after="100" w:afterAutospacing="1" w:line="240" w:lineRule="auto"/>
    </w:pPr>
    <w:rPr>
      <w:rFonts w:ascii="Times New Roman" w:eastAsia="Times New Roman" w:hAnsi="Times New Roman" w:cs="Times New Roman"/>
      <w:sz w:val="24"/>
      <w:szCs w:val="24"/>
      <w:lang w:val="en-AE"/>
    </w:rPr>
  </w:style>
  <w:style w:type="character" w:styleId="CommentReference">
    <w:name w:val="annotation reference"/>
    <w:basedOn w:val="DefaultParagraphFont"/>
    <w:uiPriority w:val="99"/>
    <w:semiHidden/>
    <w:unhideWhenUsed/>
    <w:rsid w:val="000E47AF"/>
    <w:rPr>
      <w:sz w:val="16"/>
      <w:szCs w:val="16"/>
    </w:rPr>
  </w:style>
  <w:style w:type="paragraph" w:styleId="CommentText">
    <w:name w:val="annotation text"/>
    <w:basedOn w:val="Normal"/>
    <w:link w:val="CommentTextChar"/>
    <w:uiPriority w:val="99"/>
    <w:semiHidden/>
    <w:unhideWhenUsed/>
    <w:rsid w:val="000E47AF"/>
    <w:pPr>
      <w:spacing w:line="240" w:lineRule="auto"/>
    </w:pPr>
    <w:rPr>
      <w:sz w:val="20"/>
      <w:szCs w:val="20"/>
    </w:rPr>
  </w:style>
  <w:style w:type="character" w:customStyle="1" w:styleId="CommentTextChar">
    <w:name w:val="Comment Text Char"/>
    <w:basedOn w:val="DefaultParagraphFont"/>
    <w:link w:val="CommentText"/>
    <w:uiPriority w:val="99"/>
    <w:semiHidden/>
    <w:rsid w:val="000E47AF"/>
    <w:rPr>
      <w:sz w:val="20"/>
      <w:szCs w:val="20"/>
    </w:rPr>
  </w:style>
  <w:style w:type="paragraph" w:styleId="CommentSubject">
    <w:name w:val="annotation subject"/>
    <w:basedOn w:val="CommentText"/>
    <w:next w:val="CommentText"/>
    <w:link w:val="CommentSubjectChar"/>
    <w:uiPriority w:val="99"/>
    <w:semiHidden/>
    <w:unhideWhenUsed/>
    <w:rsid w:val="000E47AF"/>
    <w:rPr>
      <w:b/>
      <w:bCs/>
    </w:rPr>
  </w:style>
  <w:style w:type="character" w:customStyle="1" w:styleId="CommentSubjectChar">
    <w:name w:val="Comment Subject Char"/>
    <w:basedOn w:val="CommentTextChar"/>
    <w:link w:val="CommentSubject"/>
    <w:uiPriority w:val="99"/>
    <w:semiHidden/>
    <w:rsid w:val="000E47AF"/>
    <w:rPr>
      <w:b/>
      <w:bCs/>
      <w:sz w:val="20"/>
      <w:szCs w:val="20"/>
    </w:rPr>
  </w:style>
  <w:style w:type="paragraph" w:styleId="BalloonText">
    <w:name w:val="Balloon Text"/>
    <w:basedOn w:val="Normal"/>
    <w:link w:val="BalloonTextChar"/>
    <w:uiPriority w:val="99"/>
    <w:semiHidden/>
    <w:unhideWhenUsed/>
    <w:rsid w:val="000E47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47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zian@azizidevelopments.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F7601-7F06-419C-BE3C-B0065B58B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758</Words>
  <Characters>4463</Characters>
  <Application>Microsoft Office Word</Application>
  <DocSecurity>0</DocSecurity>
  <Lines>67</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5216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Tizian H. G. Raab</cp:lastModifiedBy>
  <cp:revision>3</cp:revision>
  <dcterms:created xsi:type="dcterms:W3CDTF">2024-07-09T06:22:00Z</dcterms:created>
  <dcterms:modified xsi:type="dcterms:W3CDTF">2024-07-10T05:02:00Z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c8f657a5b0850d0ecc2417af4bb961c00f531edfcb9c67fceadc571a42fc8ade</vt:lpwstr>
  </property>
</Properties>
</file>