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69F44" w14:textId="67100561" w:rsidR="00B154A3" w:rsidRPr="008A55FF" w:rsidRDefault="00B154A3" w:rsidP="00C617B3">
      <w:pPr>
        <w:spacing w:line="240" w:lineRule="auto"/>
        <w:ind w:left="-426" w:right="-563"/>
        <w:jc w:val="both"/>
        <w:rPr>
          <w:rFonts w:ascii="Dubai" w:eastAsia="Times New Roman" w:hAnsi="Dubai" w:cs="Dubai"/>
          <w:b/>
          <w:bCs/>
          <w:sz w:val="24"/>
          <w:szCs w:val="24"/>
          <w:lang w:val="en-GB"/>
        </w:rPr>
      </w:pPr>
    </w:p>
    <w:p w14:paraId="2C47357F" w14:textId="177969B3" w:rsidR="00F0370E" w:rsidRPr="003B59E7" w:rsidRDefault="00545DE9" w:rsidP="00090C2A">
      <w:pPr>
        <w:spacing w:line="240" w:lineRule="auto"/>
        <w:ind w:left="-426" w:right="-563"/>
        <w:jc w:val="center"/>
        <w:rPr>
          <w:rFonts w:ascii="Dubai" w:hAnsi="Dubai" w:cs="Dubai"/>
          <w:b/>
          <w:bCs/>
          <w:sz w:val="40"/>
          <w:szCs w:val="40"/>
          <w:lang w:val="en-GB"/>
        </w:rPr>
      </w:pPr>
      <w:r w:rsidRPr="003B59E7">
        <w:rPr>
          <w:rFonts w:ascii="Dubai" w:hAnsi="Dubai" w:cs="Dubai"/>
          <w:b/>
          <w:bCs/>
          <w:sz w:val="40"/>
          <w:szCs w:val="40"/>
          <w:lang w:val="en-GB"/>
        </w:rPr>
        <w:t>Azizi Developments sells</w:t>
      </w:r>
      <w:r w:rsidR="004553E3" w:rsidRPr="003B59E7">
        <w:rPr>
          <w:rFonts w:ascii="Dubai" w:hAnsi="Dubai" w:cs="Dubai"/>
          <w:b/>
          <w:bCs/>
          <w:sz w:val="40"/>
          <w:szCs w:val="40"/>
          <w:lang w:val="en-GB"/>
        </w:rPr>
        <w:t xml:space="preserve"> </w:t>
      </w:r>
      <w:r w:rsidR="00194F3E">
        <w:rPr>
          <w:rFonts w:ascii="Dubai" w:hAnsi="Dubai" w:cs="Dubai"/>
          <w:b/>
          <w:bCs/>
          <w:sz w:val="40"/>
          <w:szCs w:val="40"/>
          <w:lang w:val="en-GB"/>
        </w:rPr>
        <w:t>80</w:t>
      </w:r>
      <w:r w:rsidRPr="00CA43FD">
        <w:rPr>
          <w:rFonts w:ascii="Dubai" w:hAnsi="Dubai" w:cs="Dubai"/>
          <w:b/>
          <w:bCs/>
          <w:sz w:val="40"/>
          <w:szCs w:val="40"/>
          <w:lang w:val="en-GB"/>
        </w:rPr>
        <w:t>%</w:t>
      </w:r>
      <w:r w:rsidRPr="003B59E7">
        <w:rPr>
          <w:rFonts w:ascii="Dubai" w:hAnsi="Dubai" w:cs="Dubai"/>
          <w:b/>
          <w:bCs/>
          <w:sz w:val="40"/>
          <w:szCs w:val="40"/>
          <w:lang w:val="en-GB"/>
        </w:rPr>
        <w:t xml:space="preserve"> of </w:t>
      </w:r>
      <w:r w:rsidR="00194F3E">
        <w:rPr>
          <w:rFonts w:ascii="Dubai" w:hAnsi="Dubai" w:cs="Dubai"/>
          <w:b/>
          <w:bCs/>
          <w:sz w:val="40"/>
          <w:szCs w:val="40"/>
          <w:lang w:val="en-GB"/>
        </w:rPr>
        <w:t>Amber</w:t>
      </w:r>
      <w:r w:rsidR="00552960">
        <w:rPr>
          <w:rFonts w:ascii="Dubai" w:hAnsi="Dubai" w:cs="Dubai"/>
          <w:b/>
          <w:bCs/>
          <w:sz w:val="40"/>
          <w:szCs w:val="40"/>
          <w:lang w:val="en-GB"/>
        </w:rPr>
        <w:t xml:space="preserve"> in </w:t>
      </w:r>
      <w:r w:rsidR="00CA43FD">
        <w:rPr>
          <w:rFonts w:ascii="Dubai" w:hAnsi="Dubai" w:cs="Dubai"/>
          <w:b/>
          <w:bCs/>
          <w:sz w:val="40"/>
          <w:szCs w:val="40"/>
          <w:lang w:val="en-GB"/>
        </w:rPr>
        <w:t>Al Furjan</w:t>
      </w:r>
    </w:p>
    <w:p w14:paraId="52F1FF0D" w14:textId="034F54A3" w:rsidR="00E370C7" w:rsidRDefault="00090C2A" w:rsidP="00090C2A">
      <w:pPr>
        <w:pStyle w:val="ListParagraph"/>
        <w:spacing w:line="240" w:lineRule="auto"/>
        <w:ind w:left="-426" w:right="-563"/>
        <w:jc w:val="center"/>
        <w:rPr>
          <w:rFonts w:ascii="Dubai" w:hAnsi="Dubai" w:cs="Dubai"/>
          <w:i/>
          <w:iCs/>
          <w:sz w:val="24"/>
          <w:szCs w:val="24"/>
          <w:lang w:val="en-AE"/>
        </w:rPr>
      </w:pPr>
      <w:r>
        <w:rPr>
          <w:rFonts w:ascii="Dubai" w:hAnsi="Dubai" w:cs="Dubai"/>
          <w:i/>
          <w:iCs/>
          <w:sz w:val="24"/>
          <w:szCs w:val="24"/>
        </w:rPr>
        <w:t>Previously unseen</w:t>
      </w:r>
      <w:r w:rsidR="00194F3E">
        <w:rPr>
          <w:rFonts w:ascii="Dubai" w:hAnsi="Dubai" w:cs="Dubai"/>
          <w:i/>
          <w:iCs/>
          <w:sz w:val="24"/>
          <w:szCs w:val="24"/>
          <w:lang w:val="en-AE"/>
        </w:rPr>
        <w:t xml:space="preserve"> units </w:t>
      </w:r>
      <w:r>
        <w:rPr>
          <w:rFonts w:ascii="Dubai" w:hAnsi="Dubai" w:cs="Dubai"/>
          <w:i/>
          <w:iCs/>
          <w:sz w:val="24"/>
          <w:szCs w:val="24"/>
          <w:lang w:val="en-AE"/>
        </w:rPr>
        <w:t xml:space="preserve">are </w:t>
      </w:r>
      <w:r w:rsidR="00194F3E">
        <w:rPr>
          <w:rFonts w:ascii="Dubai" w:hAnsi="Dubai" w:cs="Dubai"/>
          <w:i/>
          <w:iCs/>
          <w:sz w:val="24"/>
          <w:szCs w:val="24"/>
          <w:lang w:val="en-AE"/>
        </w:rPr>
        <w:t>to be released in the coming weeks</w:t>
      </w:r>
    </w:p>
    <w:p w14:paraId="29BE50E4" w14:textId="77777777" w:rsidR="00194F3E" w:rsidRPr="00194F3E" w:rsidRDefault="00194F3E" w:rsidP="00090C2A">
      <w:pPr>
        <w:pStyle w:val="ListParagraph"/>
        <w:spacing w:line="240" w:lineRule="auto"/>
        <w:ind w:left="-426" w:right="-563"/>
        <w:jc w:val="center"/>
        <w:rPr>
          <w:rFonts w:ascii="Dubai" w:hAnsi="Dubai" w:cs="Dubai"/>
          <w:i/>
          <w:iCs/>
          <w:sz w:val="24"/>
          <w:szCs w:val="24"/>
          <w:lang w:val="en-AE"/>
        </w:rPr>
      </w:pPr>
    </w:p>
    <w:p w14:paraId="42433920" w14:textId="08EAA27D" w:rsidR="008A25B4" w:rsidRDefault="00B154A3" w:rsidP="00090C2A">
      <w:pPr>
        <w:pStyle w:val="ListParagraph"/>
        <w:spacing w:line="240" w:lineRule="auto"/>
        <w:ind w:left="-426" w:right="-563"/>
        <w:jc w:val="both"/>
        <w:rPr>
          <w:rFonts w:ascii="Dubai" w:hAnsi="Dubai" w:cs="Dubai"/>
          <w:sz w:val="24"/>
          <w:szCs w:val="24"/>
          <w:lang w:val="en-GB"/>
        </w:rPr>
      </w:pPr>
      <w:r w:rsidRPr="00FE4F97">
        <w:rPr>
          <w:rFonts w:ascii="Dubai" w:hAnsi="Dubai" w:cs="Dubai"/>
          <w:b/>
          <w:bCs/>
          <w:sz w:val="24"/>
          <w:szCs w:val="24"/>
          <w:lang w:val="en-GB"/>
        </w:rPr>
        <w:t>Dubai, UAE,</w:t>
      </w:r>
      <w:r w:rsidR="002556E2" w:rsidRPr="00FE4F97">
        <w:rPr>
          <w:rFonts w:ascii="Dubai" w:hAnsi="Dubai" w:cs="Dubai"/>
          <w:b/>
          <w:bCs/>
          <w:sz w:val="24"/>
          <w:szCs w:val="24"/>
          <w:lang w:val="en-GB"/>
        </w:rPr>
        <w:t xml:space="preserve"> </w:t>
      </w:r>
      <w:r w:rsidR="00BC6DFD">
        <w:rPr>
          <w:rFonts w:ascii="Dubai" w:hAnsi="Dubai" w:cs="Dubai"/>
          <w:b/>
          <w:bCs/>
          <w:sz w:val="24"/>
          <w:szCs w:val="24"/>
          <w:lang w:val="en-GB"/>
        </w:rPr>
        <w:t>3 October</w:t>
      </w:r>
      <w:r w:rsidR="00AE13B3">
        <w:rPr>
          <w:rFonts w:ascii="Dubai" w:hAnsi="Dubai" w:cs="Dubai"/>
          <w:b/>
          <w:bCs/>
          <w:sz w:val="24"/>
          <w:szCs w:val="24"/>
          <w:lang w:val="en-GB"/>
        </w:rPr>
        <w:t xml:space="preserve"> </w:t>
      </w:r>
      <w:r w:rsidR="002556E2" w:rsidRPr="00FE4F97">
        <w:rPr>
          <w:rFonts w:ascii="Dubai" w:hAnsi="Dubai" w:cs="Dubai"/>
          <w:b/>
          <w:bCs/>
          <w:sz w:val="24"/>
          <w:szCs w:val="24"/>
          <w:lang w:val="en-GB"/>
        </w:rPr>
        <w:t>202</w:t>
      </w:r>
      <w:r w:rsidR="00F96B98">
        <w:rPr>
          <w:rFonts w:ascii="Dubai" w:hAnsi="Dubai" w:cs="Dubai"/>
          <w:b/>
          <w:bCs/>
          <w:sz w:val="24"/>
          <w:szCs w:val="24"/>
          <w:lang w:val="en-GB"/>
        </w:rPr>
        <w:t>4</w:t>
      </w:r>
      <w:r w:rsidRPr="00FE4F97">
        <w:rPr>
          <w:rFonts w:ascii="Dubai" w:hAnsi="Dubai" w:cs="Dubai"/>
          <w:b/>
          <w:bCs/>
          <w:sz w:val="24"/>
          <w:szCs w:val="24"/>
          <w:lang w:val="en-GB"/>
        </w:rPr>
        <w:t>:</w:t>
      </w:r>
      <w:r w:rsidRPr="00FE4F97">
        <w:rPr>
          <w:rFonts w:ascii="Dubai" w:hAnsi="Dubai" w:cs="Dubai"/>
          <w:sz w:val="24"/>
          <w:szCs w:val="24"/>
          <w:lang w:val="en-GB"/>
        </w:rPr>
        <w:t xml:space="preserve"> Azizi Developments, a leading private developer in the UAE, </w:t>
      </w:r>
      <w:r w:rsidR="00BD32EA">
        <w:rPr>
          <w:rFonts w:ascii="Dubai" w:hAnsi="Dubai" w:cs="Dubai"/>
          <w:sz w:val="24"/>
          <w:szCs w:val="24"/>
          <w:lang w:val="en-GB"/>
        </w:rPr>
        <w:t xml:space="preserve">has </w:t>
      </w:r>
      <w:r w:rsidR="00194F3E">
        <w:rPr>
          <w:rFonts w:ascii="Dubai" w:hAnsi="Dubai" w:cs="Dubai"/>
          <w:sz w:val="24"/>
          <w:szCs w:val="24"/>
          <w:lang w:val="en-GB"/>
        </w:rPr>
        <w:t xml:space="preserve">announced </w:t>
      </w:r>
      <w:r w:rsidR="00090C2A">
        <w:rPr>
          <w:rFonts w:ascii="Dubai" w:hAnsi="Dubai" w:cs="Dubai"/>
          <w:sz w:val="24"/>
          <w:szCs w:val="24"/>
          <w:lang w:val="en-GB"/>
        </w:rPr>
        <w:t>that</w:t>
      </w:r>
      <w:r w:rsidR="00172D6A">
        <w:rPr>
          <w:rFonts w:ascii="Dubai" w:hAnsi="Dubai" w:cs="Dubai"/>
          <w:sz w:val="24"/>
          <w:szCs w:val="24"/>
          <w:lang w:val="en-GB"/>
        </w:rPr>
        <w:t xml:space="preserve"> </w:t>
      </w:r>
      <w:r w:rsidR="00194F3E" w:rsidRPr="00194F3E">
        <w:rPr>
          <w:rFonts w:ascii="Dubai" w:hAnsi="Dubai" w:cs="Dubai"/>
          <w:sz w:val="24"/>
          <w:szCs w:val="24"/>
          <w:lang w:val="en-GB"/>
        </w:rPr>
        <w:t>Amber, its premium condominium project in Dubai’s highly acclaimed growth corridor, Al Furjan</w:t>
      </w:r>
      <w:r w:rsidR="00090C2A">
        <w:rPr>
          <w:rFonts w:ascii="Dubai" w:hAnsi="Dubai" w:cs="Dubai"/>
          <w:sz w:val="24"/>
          <w:szCs w:val="24"/>
          <w:lang w:val="en-GB"/>
        </w:rPr>
        <w:t>, is now over 80% sold out</w:t>
      </w:r>
      <w:r w:rsidR="00194F3E" w:rsidRPr="00194F3E">
        <w:rPr>
          <w:rFonts w:ascii="Dubai" w:hAnsi="Dubai" w:cs="Dubai"/>
          <w:sz w:val="24"/>
          <w:szCs w:val="24"/>
          <w:lang w:val="en-GB"/>
        </w:rPr>
        <w:t xml:space="preserve">. </w:t>
      </w:r>
    </w:p>
    <w:p w14:paraId="25F3463A" w14:textId="77777777" w:rsidR="008A25B4" w:rsidRPr="008A25B4" w:rsidRDefault="008A25B4" w:rsidP="00090C2A">
      <w:pPr>
        <w:pStyle w:val="ListParagraph"/>
        <w:spacing w:line="240" w:lineRule="auto"/>
        <w:ind w:left="-426" w:right="-563"/>
        <w:jc w:val="both"/>
        <w:rPr>
          <w:rFonts w:ascii="Dubai" w:hAnsi="Dubai" w:cs="Dubai"/>
          <w:sz w:val="24"/>
          <w:szCs w:val="24"/>
          <w:lang w:val="en-GB"/>
        </w:rPr>
      </w:pPr>
    </w:p>
    <w:p w14:paraId="390FDDA0" w14:textId="0B0951E6" w:rsidR="007C5B7C" w:rsidRDefault="007C5B7C" w:rsidP="00090C2A">
      <w:pPr>
        <w:pStyle w:val="ListParagraph"/>
        <w:spacing w:line="240" w:lineRule="auto"/>
        <w:ind w:left="-426" w:right="-563"/>
        <w:jc w:val="both"/>
        <w:rPr>
          <w:rFonts w:ascii="Dubai" w:hAnsi="Dubai" w:cs="Dubai"/>
          <w:sz w:val="24"/>
          <w:szCs w:val="24"/>
        </w:rPr>
      </w:pPr>
      <w:r w:rsidRPr="007C5B7C">
        <w:rPr>
          <w:rFonts w:ascii="Dubai" w:hAnsi="Dubai" w:cs="Dubai"/>
          <w:sz w:val="24"/>
          <w:szCs w:val="24"/>
        </w:rPr>
        <w:t xml:space="preserve">Among the </w:t>
      </w:r>
      <w:r w:rsidR="007768C0">
        <w:rPr>
          <w:rFonts w:ascii="Dubai" w:hAnsi="Dubai" w:cs="Dubai"/>
          <w:sz w:val="24"/>
          <w:szCs w:val="24"/>
        </w:rPr>
        <w:t>3</w:t>
      </w:r>
      <w:r w:rsidRPr="007C5B7C">
        <w:rPr>
          <w:rFonts w:ascii="Dubai" w:hAnsi="Dubai" w:cs="Dubai"/>
          <w:sz w:val="24"/>
          <w:szCs w:val="24"/>
        </w:rPr>
        <w:t>0 nationalities that have purchased units so far, buyers from the United Arab Emirates represent the largest demographic</w:t>
      </w:r>
      <w:r w:rsidR="00F978F4">
        <w:rPr>
          <w:rFonts w:ascii="Dubai" w:hAnsi="Dubai" w:cs="Dubai"/>
          <w:sz w:val="24"/>
          <w:szCs w:val="24"/>
        </w:rPr>
        <w:t xml:space="preserve"> at </w:t>
      </w:r>
      <w:r w:rsidR="003A1846">
        <w:rPr>
          <w:rFonts w:ascii="Dubai" w:hAnsi="Dubai" w:cs="Dubai"/>
          <w:sz w:val="24"/>
          <w:szCs w:val="24"/>
        </w:rPr>
        <w:t>25</w:t>
      </w:r>
      <w:r w:rsidR="00F978F4">
        <w:rPr>
          <w:rFonts w:ascii="Dubai" w:hAnsi="Dubai" w:cs="Dubai"/>
          <w:sz w:val="24"/>
          <w:szCs w:val="24"/>
        </w:rPr>
        <w:t>%</w:t>
      </w:r>
      <w:r w:rsidRPr="007C5B7C">
        <w:rPr>
          <w:rFonts w:ascii="Dubai" w:hAnsi="Dubai" w:cs="Dubai"/>
          <w:sz w:val="24"/>
          <w:szCs w:val="24"/>
        </w:rPr>
        <w:t xml:space="preserve">. They are followed by investors from several Western and European countries, including the </w:t>
      </w:r>
      <w:r w:rsidR="007768C0">
        <w:rPr>
          <w:rFonts w:ascii="Dubai" w:hAnsi="Dubai" w:cs="Dubai"/>
          <w:sz w:val="24"/>
          <w:szCs w:val="24"/>
        </w:rPr>
        <w:t>USA</w:t>
      </w:r>
      <w:r w:rsidRPr="007C5B7C">
        <w:rPr>
          <w:rFonts w:ascii="Dubai" w:hAnsi="Dubai" w:cs="Dubai"/>
          <w:sz w:val="24"/>
          <w:szCs w:val="24"/>
        </w:rPr>
        <w:t>,</w:t>
      </w:r>
      <w:r w:rsidR="007768C0">
        <w:rPr>
          <w:rFonts w:ascii="Dubai" w:hAnsi="Dubai" w:cs="Dubai"/>
          <w:sz w:val="24"/>
          <w:szCs w:val="24"/>
        </w:rPr>
        <w:t xml:space="preserve"> UK, </w:t>
      </w:r>
      <w:r w:rsidRPr="007C5B7C">
        <w:rPr>
          <w:rFonts w:ascii="Dubai" w:hAnsi="Dubai" w:cs="Dubai"/>
          <w:sz w:val="24"/>
          <w:szCs w:val="24"/>
        </w:rPr>
        <w:t>and Germany</w:t>
      </w:r>
      <w:r w:rsidR="003A1846">
        <w:rPr>
          <w:rFonts w:ascii="Dubai" w:hAnsi="Dubai" w:cs="Dubai"/>
          <w:sz w:val="24"/>
          <w:szCs w:val="24"/>
        </w:rPr>
        <w:t>, which make up a combined 35%</w:t>
      </w:r>
      <w:r w:rsidRPr="007C5B7C">
        <w:rPr>
          <w:rFonts w:ascii="Dubai" w:hAnsi="Dubai" w:cs="Dubai"/>
          <w:sz w:val="24"/>
          <w:szCs w:val="24"/>
        </w:rPr>
        <w:t xml:space="preserve">, as well as various GCC nations, </w:t>
      </w:r>
      <w:r w:rsidR="003A1846">
        <w:rPr>
          <w:rFonts w:ascii="Dubai" w:hAnsi="Dubai" w:cs="Dubai"/>
          <w:sz w:val="24"/>
          <w:szCs w:val="24"/>
        </w:rPr>
        <w:t>including</w:t>
      </w:r>
      <w:r w:rsidRPr="007C5B7C">
        <w:rPr>
          <w:rFonts w:ascii="Dubai" w:hAnsi="Dubai" w:cs="Dubai"/>
          <w:sz w:val="24"/>
          <w:szCs w:val="24"/>
        </w:rPr>
        <w:t xml:space="preserve"> Saudi Arabia</w:t>
      </w:r>
      <w:r w:rsidR="003A1846">
        <w:rPr>
          <w:rFonts w:ascii="Dubai" w:hAnsi="Dubai" w:cs="Dubai"/>
          <w:sz w:val="24"/>
          <w:szCs w:val="24"/>
        </w:rPr>
        <w:t xml:space="preserve">, </w:t>
      </w:r>
      <w:r w:rsidR="00BD32EA">
        <w:rPr>
          <w:rFonts w:ascii="Dubai" w:hAnsi="Dubai" w:cs="Dubai"/>
          <w:sz w:val="24"/>
          <w:szCs w:val="24"/>
        </w:rPr>
        <w:t>at</w:t>
      </w:r>
      <w:r w:rsidR="00090C2A">
        <w:rPr>
          <w:rFonts w:ascii="Dubai" w:hAnsi="Dubai" w:cs="Dubai"/>
          <w:sz w:val="24"/>
          <w:szCs w:val="24"/>
        </w:rPr>
        <w:t xml:space="preserve"> 2</w:t>
      </w:r>
      <w:r w:rsidR="007768C0">
        <w:rPr>
          <w:rFonts w:ascii="Dubai" w:hAnsi="Dubai" w:cs="Dubai"/>
          <w:sz w:val="24"/>
          <w:szCs w:val="24"/>
        </w:rPr>
        <w:t>0</w:t>
      </w:r>
      <w:r w:rsidR="003A1846">
        <w:rPr>
          <w:rFonts w:ascii="Dubai" w:hAnsi="Dubai" w:cs="Dubai"/>
          <w:sz w:val="24"/>
          <w:szCs w:val="24"/>
        </w:rPr>
        <w:t>%</w:t>
      </w:r>
      <w:r w:rsidRPr="007C5B7C">
        <w:rPr>
          <w:rFonts w:ascii="Dubai" w:hAnsi="Dubai" w:cs="Dubai"/>
          <w:sz w:val="24"/>
          <w:szCs w:val="24"/>
        </w:rPr>
        <w:t xml:space="preserve">. </w:t>
      </w:r>
    </w:p>
    <w:p w14:paraId="302605CA" w14:textId="77777777" w:rsidR="007C5B7C" w:rsidRDefault="007C5B7C" w:rsidP="00090C2A">
      <w:pPr>
        <w:pStyle w:val="ListParagraph"/>
        <w:spacing w:line="240" w:lineRule="auto"/>
        <w:ind w:left="-426" w:right="-563"/>
        <w:jc w:val="both"/>
        <w:rPr>
          <w:rFonts w:ascii="Dubai" w:hAnsi="Dubai" w:cs="Dubai"/>
          <w:sz w:val="24"/>
          <w:szCs w:val="24"/>
          <w:lang w:val="en-AE"/>
        </w:rPr>
      </w:pPr>
    </w:p>
    <w:p w14:paraId="10ED17E5" w14:textId="1DC01252" w:rsidR="007768C0" w:rsidRDefault="00090C2A" w:rsidP="00090C2A">
      <w:pPr>
        <w:pStyle w:val="ListParagraph"/>
        <w:spacing w:line="240" w:lineRule="auto"/>
        <w:ind w:left="-426" w:right="-563"/>
        <w:jc w:val="both"/>
        <w:rPr>
          <w:rFonts w:ascii="Dubai" w:hAnsi="Dubai" w:cs="Dubai"/>
          <w:sz w:val="24"/>
          <w:szCs w:val="24"/>
        </w:rPr>
      </w:pPr>
      <w:r>
        <w:rPr>
          <w:rFonts w:ascii="Dubai" w:hAnsi="Dubai" w:cs="Dubai"/>
          <w:sz w:val="24"/>
          <w:szCs w:val="24"/>
        </w:rPr>
        <w:t>Mr. Afzaal Hussain, Chief Operating Officer</w:t>
      </w:r>
      <w:r w:rsidR="003A1846">
        <w:rPr>
          <w:rFonts w:ascii="Dubai" w:hAnsi="Dubai" w:cs="Dubai"/>
          <w:sz w:val="24"/>
          <w:szCs w:val="24"/>
        </w:rPr>
        <w:t xml:space="preserve"> at Azizi Developments,</w:t>
      </w:r>
      <w:r w:rsidR="00B154A3" w:rsidRPr="003A1846">
        <w:rPr>
          <w:rFonts w:ascii="Dubai" w:hAnsi="Dubai" w:cs="Dubai"/>
          <w:sz w:val="24"/>
          <w:szCs w:val="24"/>
          <w:lang w:val="en-GB"/>
        </w:rPr>
        <w:t xml:space="preserve"> said:</w:t>
      </w:r>
      <w:r w:rsidR="00CA43FD" w:rsidRPr="003A1846">
        <w:rPr>
          <w:rFonts w:ascii="Dubai" w:hAnsi="Dubai" w:cs="Dubai"/>
          <w:sz w:val="24"/>
          <w:szCs w:val="24"/>
          <w:lang w:val="en-GB"/>
        </w:rPr>
        <w:t xml:space="preserve"> “</w:t>
      </w:r>
      <w:r w:rsidR="007768C0" w:rsidRPr="007768C0">
        <w:rPr>
          <w:rFonts w:ascii="Dubai" w:hAnsi="Dubai" w:cs="Dubai"/>
          <w:sz w:val="24"/>
          <w:szCs w:val="24"/>
        </w:rPr>
        <w:t xml:space="preserve">We take great pride in the overwhelming interest </w:t>
      </w:r>
      <w:r>
        <w:rPr>
          <w:rFonts w:ascii="Dubai" w:hAnsi="Dubai" w:cs="Dubai"/>
          <w:sz w:val="24"/>
          <w:szCs w:val="24"/>
        </w:rPr>
        <w:t>our projects are receiving</w:t>
      </w:r>
      <w:r w:rsidR="007768C0" w:rsidRPr="007768C0">
        <w:rPr>
          <w:rFonts w:ascii="Dubai" w:hAnsi="Dubai" w:cs="Dubai"/>
          <w:sz w:val="24"/>
          <w:szCs w:val="24"/>
        </w:rPr>
        <w:t xml:space="preserve">, </w:t>
      </w:r>
      <w:r>
        <w:rPr>
          <w:rFonts w:ascii="Dubai" w:hAnsi="Dubai" w:cs="Dubai"/>
          <w:sz w:val="24"/>
          <w:szCs w:val="24"/>
        </w:rPr>
        <w:t>demonstrating</w:t>
      </w:r>
      <w:r w:rsidR="007768C0" w:rsidRPr="007768C0">
        <w:rPr>
          <w:rFonts w:ascii="Dubai" w:hAnsi="Dubai" w:cs="Dubai"/>
          <w:sz w:val="24"/>
          <w:szCs w:val="24"/>
        </w:rPr>
        <w:t xml:space="preserve"> the</w:t>
      </w:r>
      <w:r>
        <w:rPr>
          <w:rFonts w:ascii="Dubai" w:hAnsi="Dubai" w:cs="Dubai"/>
          <w:sz w:val="24"/>
          <w:szCs w:val="24"/>
        </w:rPr>
        <w:t>ir</w:t>
      </w:r>
      <w:r w:rsidR="007768C0" w:rsidRPr="007768C0">
        <w:rPr>
          <w:rFonts w:ascii="Dubai" w:hAnsi="Dubai" w:cs="Dubai"/>
          <w:sz w:val="24"/>
          <w:szCs w:val="24"/>
        </w:rPr>
        <w:t xml:space="preserve"> exceptional quality and appeal</w:t>
      </w:r>
      <w:r>
        <w:rPr>
          <w:rFonts w:ascii="Dubai" w:hAnsi="Dubai" w:cs="Dubai"/>
          <w:sz w:val="24"/>
          <w:szCs w:val="24"/>
        </w:rPr>
        <w:t xml:space="preserve">. </w:t>
      </w:r>
      <w:r w:rsidR="007768C0" w:rsidRPr="007768C0">
        <w:rPr>
          <w:rFonts w:ascii="Dubai" w:hAnsi="Dubai" w:cs="Dubai"/>
          <w:sz w:val="24"/>
          <w:szCs w:val="24"/>
        </w:rPr>
        <w:t xml:space="preserve">The robust demand for properties in Al Furjan, especially </w:t>
      </w:r>
      <w:r>
        <w:rPr>
          <w:rFonts w:ascii="Dubai" w:hAnsi="Dubai" w:cs="Dubai"/>
          <w:sz w:val="24"/>
          <w:szCs w:val="24"/>
        </w:rPr>
        <w:t xml:space="preserve">for </w:t>
      </w:r>
      <w:r w:rsidR="007768C0" w:rsidRPr="007768C0">
        <w:rPr>
          <w:rFonts w:ascii="Dubai" w:hAnsi="Dubai" w:cs="Dubai"/>
          <w:sz w:val="24"/>
          <w:szCs w:val="24"/>
        </w:rPr>
        <w:t>Amber</w:t>
      </w:r>
      <w:r w:rsidR="007768C0">
        <w:rPr>
          <w:rFonts w:ascii="Dubai" w:hAnsi="Dubai" w:cs="Dubai"/>
          <w:sz w:val="24"/>
          <w:szCs w:val="24"/>
        </w:rPr>
        <w:t xml:space="preserve">, Pearl </w:t>
      </w:r>
      <w:r w:rsidR="007768C0" w:rsidRPr="007768C0">
        <w:rPr>
          <w:rFonts w:ascii="Dubai" w:hAnsi="Dubai" w:cs="Dubai"/>
          <w:sz w:val="24"/>
          <w:szCs w:val="24"/>
        </w:rPr>
        <w:t xml:space="preserve">and Berton, reinforces the area’s reputation as one of Dubai's </w:t>
      </w:r>
      <w:r>
        <w:rPr>
          <w:rFonts w:ascii="Dubai" w:hAnsi="Dubai" w:cs="Dubai"/>
          <w:sz w:val="24"/>
          <w:szCs w:val="24"/>
        </w:rPr>
        <w:t xml:space="preserve">best connected, most </w:t>
      </w:r>
      <w:r w:rsidR="007768C0" w:rsidRPr="007768C0">
        <w:rPr>
          <w:rFonts w:ascii="Dubai" w:hAnsi="Dubai" w:cs="Dubai"/>
          <w:sz w:val="24"/>
          <w:szCs w:val="24"/>
        </w:rPr>
        <w:t xml:space="preserve">desirable residential destinations. </w:t>
      </w:r>
      <w:r>
        <w:rPr>
          <w:rFonts w:ascii="Dubai" w:hAnsi="Dubai" w:cs="Dubai"/>
          <w:sz w:val="24"/>
          <w:szCs w:val="24"/>
        </w:rPr>
        <w:t>The</w:t>
      </w:r>
      <w:r w:rsidR="007768C0" w:rsidRPr="007768C0">
        <w:rPr>
          <w:rFonts w:ascii="Dubai" w:hAnsi="Dubai" w:cs="Dubai"/>
          <w:sz w:val="24"/>
          <w:szCs w:val="24"/>
        </w:rPr>
        <w:t xml:space="preserve"> </w:t>
      </w:r>
      <w:r>
        <w:rPr>
          <w:rFonts w:ascii="Dubai" w:hAnsi="Dubai" w:cs="Dubai"/>
          <w:sz w:val="24"/>
          <w:szCs w:val="24"/>
        </w:rPr>
        <w:t>increasing popularity</w:t>
      </w:r>
      <w:r w:rsidR="007768C0" w:rsidRPr="007768C0">
        <w:rPr>
          <w:rFonts w:ascii="Dubai" w:hAnsi="Dubai" w:cs="Dubai"/>
          <w:sz w:val="24"/>
          <w:szCs w:val="24"/>
        </w:rPr>
        <w:t xml:space="preserve"> and vibrancy </w:t>
      </w:r>
      <w:r>
        <w:rPr>
          <w:rFonts w:ascii="Dubai" w:hAnsi="Dubai" w:cs="Dubai"/>
          <w:sz w:val="24"/>
          <w:szCs w:val="24"/>
        </w:rPr>
        <w:t>also</w:t>
      </w:r>
      <w:r w:rsidR="007768C0" w:rsidRPr="007768C0">
        <w:rPr>
          <w:rFonts w:ascii="Dubai" w:hAnsi="Dubai" w:cs="Dubai"/>
          <w:sz w:val="24"/>
          <w:szCs w:val="24"/>
        </w:rPr>
        <w:t xml:space="preserve"> </w:t>
      </w:r>
      <w:r>
        <w:rPr>
          <w:rFonts w:ascii="Dubai" w:hAnsi="Dubai" w:cs="Dubai"/>
          <w:sz w:val="24"/>
          <w:szCs w:val="24"/>
        </w:rPr>
        <w:t>re</w:t>
      </w:r>
      <w:r w:rsidR="007768C0" w:rsidRPr="007768C0">
        <w:rPr>
          <w:rFonts w:ascii="Dubai" w:hAnsi="Dubai" w:cs="Dubai"/>
          <w:sz w:val="24"/>
          <w:szCs w:val="24"/>
        </w:rPr>
        <w:t>affirms our commitment to delivering world-class living experiences</w:t>
      </w:r>
      <w:r>
        <w:rPr>
          <w:rFonts w:ascii="Dubai" w:hAnsi="Dubai" w:cs="Dubai"/>
          <w:sz w:val="24"/>
          <w:szCs w:val="24"/>
        </w:rPr>
        <w:t xml:space="preserve"> across Dubai’s most sought-after communities</w:t>
      </w:r>
      <w:r w:rsidR="007768C0" w:rsidRPr="007768C0">
        <w:rPr>
          <w:rFonts w:ascii="Dubai" w:hAnsi="Dubai" w:cs="Dubai"/>
          <w:sz w:val="24"/>
          <w:szCs w:val="24"/>
        </w:rPr>
        <w:t>.</w:t>
      </w:r>
      <w:r w:rsidR="007C5B7C" w:rsidRPr="003A1846">
        <w:rPr>
          <w:rFonts w:ascii="Dubai" w:hAnsi="Dubai" w:cs="Dubai"/>
          <w:sz w:val="24"/>
          <w:szCs w:val="24"/>
        </w:rPr>
        <w:t>”</w:t>
      </w:r>
    </w:p>
    <w:p w14:paraId="71A1C40D" w14:textId="77777777" w:rsidR="007768C0" w:rsidRDefault="007768C0" w:rsidP="00090C2A">
      <w:pPr>
        <w:pStyle w:val="ListParagraph"/>
        <w:spacing w:line="240" w:lineRule="auto"/>
        <w:ind w:left="-426" w:right="-563"/>
        <w:jc w:val="both"/>
        <w:rPr>
          <w:rFonts w:ascii="Dubai" w:hAnsi="Dubai" w:cs="Dubai"/>
          <w:sz w:val="24"/>
          <w:szCs w:val="24"/>
        </w:rPr>
      </w:pPr>
    </w:p>
    <w:p w14:paraId="0BB9D0A3" w14:textId="77777777" w:rsidR="007768C0" w:rsidRDefault="007768C0" w:rsidP="00090C2A">
      <w:pPr>
        <w:pStyle w:val="ListParagraph"/>
        <w:spacing w:line="240" w:lineRule="auto"/>
        <w:ind w:left="-426" w:right="-563"/>
        <w:jc w:val="both"/>
        <w:rPr>
          <w:rFonts w:ascii="Dubai" w:hAnsi="Dubai" w:cs="Dubai"/>
          <w:sz w:val="24"/>
          <w:szCs w:val="24"/>
          <w:lang w:val="en-GB"/>
        </w:rPr>
      </w:pPr>
      <w:r w:rsidRPr="007768C0">
        <w:rPr>
          <w:rFonts w:ascii="Dubai" w:hAnsi="Dubai" w:cs="Dubai"/>
          <w:sz w:val="24"/>
          <w:szCs w:val="24"/>
          <w:lang w:val="en-GB"/>
        </w:rPr>
        <w:t xml:space="preserve">Amber features several premium amenities, including a variety of retail and dine-in options, landscaped walking areas, a well-equipped gymnasium, children’s play areas, two swimming pools, ample parking and 24-hour security, among others. </w:t>
      </w:r>
    </w:p>
    <w:p w14:paraId="0D540DED" w14:textId="77777777" w:rsidR="007768C0" w:rsidRDefault="007768C0" w:rsidP="00090C2A">
      <w:pPr>
        <w:pStyle w:val="ListParagraph"/>
        <w:spacing w:line="240" w:lineRule="auto"/>
        <w:ind w:left="-426" w:right="-563"/>
        <w:jc w:val="both"/>
        <w:rPr>
          <w:rFonts w:ascii="Dubai" w:hAnsi="Dubai" w:cs="Dubai"/>
          <w:sz w:val="24"/>
          <w:szCs w:val="24"/>
          <w:lang w:val="en-GB"/>
        </w:rPr>
      </w:pPr>
    </w:p>
    <w:p w14:paraId="11386636" w14:textId="18FB697B" w:rsidR="007768C0" w:rsidRDefault="00BD32EA" w:rsidP="00090C2A">
      <w:pPr>
        <w:pStyle w:val="ListParagraph"/>
        <w:spacing w:line="240" w:lineRule="auto"/>
        <w:ind w:left="-426" w:right="-563"/>
        <w:jc w:val="both"/>
        <w:rPr>
          <w:rFonts w:ascii="Dubai" w:hAnsi="Dubai" w:cs="Dubai"/>
          <w:sz w:val="24"/>
          <w:szCs w:val="24"/>
          <w:lang w:val="en-GB"/>
        </w:rPr>
      </w:pPr>
      <w:r w:rsidRPr="00BD32EA">
        <w:rPr>
          <w:rFonts w:ascii="Dubai" w:hAnsi="Dubai" w:cs="Dubai"/>
          <w:sz w:val="24"/>
          <w:szCs w:val="24"/>
        </w:rPr>
        <w:t xml:space="preserve">Al Furjan is one of Dubai’s most promising </w:t>
      </w:r>
      <w:r>
        <w:rPr>
          <w:rFonts w:ascii="Dubai" w:hAnsi="Dubai" w:cs="Dubai"/>
          <w:sz w:val="24"/>
          <w:szCs w:val="24"/>
        </w:rPr>
        <w:t>areas</w:t>
      </w:r>
      <w:r w:rsidRPr="00BD32EA">
        <w:rPr>
          <w:rFonts w:ascii="Dubai" w:hAnsi="Dubai" w:cs="Dubai"/>
          <w:sz w:val="24"/>
          <w:szCs w:val="24"/>
        </w:rPr>
        <w:t>. Amber is positioned at the heart of the action yet comfortably distanced from the city's daily hustle. Nestled within a booming community, amidst lush greenery and mega-retail stores, Amber is just one minute away from both Mohammed bin Zayed Road and Al Furjan metro station, making it one of the most sought-after, accessible, and strategically located areas in the emirate.</w:t>
      </w:r>
    </w:p>
    <w:p w14:paraId="46DC5303" w14:textId="17D63EEA" w:rsidR="007768C0" w:rsidRPr="007768C0" w:rsidRDefault="007768C0" w:rsidP="00090C2A">
      <w:pPr>
        <w:pStyle w:val="ListParagraph"/>
        <w:spacing w:line="240" w:lineRule="auto"/>
        <w:ind w:left="-426" w:right="-563"/>
        <w:jc w:val="both"/>
        <w:rPr>
          <w:rFonts w:ascii="Dubai" w:hAnsi="Dubai" w:cs="Dubai"/>
          <w:sz w:val="24"/>
          <w:szCs w:val="24"/>
        </w:rPr>
      </w:pPr>
      <w:r w:rsidRPr="007768C0">
        <w:rPr>
          <w:rFonts w:ascii="Dubai" w:hAnsi="Dubai" w:cs="Dubai"/>
          <w:sz w:val="24"/>
          <w:szCs w:val="24"/>
          <w:lang w:val="en-GB"/>
        </w:rPr>
        <w:lastRenderedPageBreak/>
        <w:t>Azizi Developments’ Sales Gallery can be visited on the 13th floor of the Conrad Hotel on Sheikh Zayed Road.</w:t>
      </w:r>
    </w:p>
    <w:p w14:paraId="1612327E" w14:textId="127E2CDB" w:rsidR="00AC0FE6" w:rsidRPr="007768C0" w:rsidRDefault="007768C0" w:rsidP="00090C2A">
      <w:pPr>
        <w:spacing w:line="0" w:lineRule="atLeast"/>
        <w:ind w:left="-426" w:right="-563"/>
        <w:jc w:val="center"/>
        <w:rPr>
          <w:rFonts w:ascii="Dubai" w:hAnsi="Dubai" w:cs="Dubai"/>
          <w:b/>
          <w:bCs/>
          <w:sz w:val="20"/>
          <w:szCs w:val="20"/>
          <w:lang w:val="en-GB"/>
        </w:rPr>
      </w:pPr>
      <w:r w:rsidRPr="007768C0">
        <w:rPr>
          <w:rFonts w:ascii="Dubai" w:hAnsi="Dubai" w:cs="Dubai"/>
          <w:b/>
          <w:bCs/>
          <w:sz w:val="24"/>
          <w:szCs w:val="24"/>
          <w:lang w:val="en-GB"/>
        </w:rPr>
        <w:t>-ENDS-</w:t>
      </w:r>
    </w:p>
    <w:p w14:paraId="417B8DAB" w14:textId="77777777" w:rsidR="00172D6A" w:rsidRDefault="00172D6A" w:rsidP="00B65C59">
      <w:pPr>
        <w:spacing w:line="0" w:lineRule="atLeast"/>
        <w:jc w:val="center"/>
        <w:rPr>
          <w:rFonts w:ascii="Dubai" w:hAnsi="Dubai" w:cs="Dubai"/>
          <w:b/>
          <w:bCs/>
          <w:sz w:val="20"/>
          <w:szCs w:val="20"/>
          <w:lang w:val="en-GB"/>
        </w:rPr>
      </w:pPr>
    </w:p>
    <w:p w14:paraId="4A4D9FC7" w14:textId="77777777" w:rsidR="007768C0" w:rsidRDefault="007768C0" w:rsidP="00B65C59">
      <w:pPr>
        <w:spacing w:line="0" w:lineRule="atLeast"/>
        <w:jc w:val="center"/>
        <w:rPr>
          <w:rFonts w:ascii="Dubai" w:hAnsi="Dubai" w:cs="Dubai"/>
          <w:b/>
          <w:bCs/>
          <w:sz w:val="20"/>
          <w:szCs w:val="20"/>
          <w:lang w:val="en-GB"/>
        </w:rPr>
      </w:pPr>
    </w:p>
    <w:p w14:paraId="17384877" w14:textId="77777777" w:rsidR="007768C0" w:rsidRDefault="007768C0" w:rsidP="00B65C59">
      <w:pPr>
        <w:spacing w:line="0" w:lineRule="atLeast"/>
        <w:jc w:val="center"/>
        <w:rPr>
          <w:rFonts w:ascii="Dubai" w:hAnsi="Dubai" w:cs="Dubai"/>
          <w:b/>
          <w:bCs/>
          <w:sz w:val="20"/>
          <w:szCs w:val="20"/>
          <w:lang w:val="en-GB"/>
        </w:rPr>
      </w:pPr>
    </w:p>
    <w:p w14:paraId="7D40C780" w14:textId="77777777" w:rsidR="007768C0" w:rsidRDefault="007768C0" w:rsidP="00B65C59">
      <w:pPr>
        <w:spacing w:line="0" w:lineRule="atLeast"/>
        <w:jc w:val="center"/>
        <w:rPr>
          <w:rFonts w:ascii="Dubai" w:hAnsi="Dubai" w:cs="Dubai"/>
          <w:b/>
          <w:bCs/>
          <w:sz w:val="20"/>
          <w:szCs w:val="20"/>
          <w:lang w:val="en-GB"/>
        </w:rPr>
      </w:pPr>
    </w:p>
    <w:p w14:paraId="60AA5DC1" w14:textId="77777777" w:rsidR="007768C0" w:rsidRDefault="007768C0" w:rsidP="00B65C59">
      <w:pPr>
        <w:spacing w:line="0" w:lineRule="atLeast"/>
        <w:jc w:val="center"/>
        <w:rPr>
          <w:rFonts w:ascii="Dubai" w:hAnsi="Dubai" w:cs="Dubai"/>
          <w:b/>
          <w:bCs/>
          <w:sz w:val="20"/>
          <w:szCs w:val="20"/>
          <w:lang w:val="en-GB"/>
        </w:rPr>
      </w:pPr>
    </w:p>
    <w:p w14:paraId="3DD103C0" w14:textId="77777777" w:rsidR="007768C0" w:rsidRDefault="007768C0" w:rsidP="00B65C59">
      <w:pPr>
        <w:spacing w:line="0" w:lineRule="atLeast"/>
        <w:jc w:val="center"/>
        <w:rPr>
          <w:rFonts w:ascii="Dubai" w:hAnsi="Dubai" w:cs="Dubai"/>
          <w:b/>
          <w:bCs/>
          <w:sz w:val="20"/>
          <w:szCs w:val="20"/>
          <w:lang w:val="en-GB"/>
        </w:rPr>
      </w:pPr>
    </w:p>
    <w:p w14:paraId="3BA78D9C" w14:textId="77777777" w:rsidR="007768C0" w:rsidRDefault="007768C0" w:rsidP="00B65C59">
      <w:pPr>
        <w:spacing w:line="0" w:lineRule="atLeast"/>
        <w:jc w:val="center"/>
        <w:rPr>
          <w:rFonts w:ascii="Dubai" w:hAnsi="Dubai" w:cs="Dubai"/>
          <w:b/>
          <w:bCs/>
          <w:sz w:val="20"/>
          <w:szCs w:val="20"/>
          <w:lang w:val="en-GB"/>
        </w:rPr>
      </w:pPr>
    </w:p>
    <w:p w14:paraId="13670775" w14:textId="77777777" w:rsidR="007768C0" w:rsidRDefault="007768C0" w:rsidP="00B65C59">
      <w:pPr>
        <w:spacing w:line="0" w:lineRule="atLeast"/>
        <w:jc w:val="center"/>
        <w:rPr>
          <w:rFonts w:ascii="Dubai" w:hAnsi="Dubai" w:cs="Dubai"/>
          <w:b/>
          <w:bCs/>
          <w:sz w:val="20"/>
          <w:szCs w:val="20"/>
          <w:lang w:val="en-GB"/>
        </w:rPr>
      </w:pPr>
    </w:p>
    <w:p w14:paraId="76AEE079" w14:textId="77777777" w:rsidR="007768C0" w:rsidRDefault="007768C0" w:rsidP="00B65C59">
      <w:pPr>
        <w:spacing w:line="0" w:lineRule="atLeast"/>
        <w:jc w:val="center"/>
        <w:rPr>
          <w:rFonts w:ascii="Dubai" w:hAnsi="Dubai" w:cs="Dubai"/>
          <w:b/>
          <w:bCs/>
          <w:sz w:val="20"/>
          <w:szCs w:val="20"/>
          <w:lang w:val="en-GB"/>
        </w:rPr>
      </w:pPr>
    </w:p>
    <w:p w14:paraId="7F1C30A3" w14:textId="77777777" w:rsidR="007768C0" w:rsidRDefault="007768C0" w:rsidP="00B65C59">
      <w:pPr>
        <w:spacing w:line="0" w:lineRule="atLeast"/>
        <w:jc w:val="center"/>
        <w:rPr>
          <w:rFonts w:ascii="Dubai" w:hAnsi="Dubai" w:cs="Dubai"/>
          <w:b/>
          <w:bCs/>
          <w:sz w:val="20"/>
          <w:szCs w:val="20"/>
          <w:lang w:val="en-GB"/>
        </w:rPr>
      </w:pPr>
    </w:p>
    <w:p w14:paraId="736F3870" w14:textId="77777777" w:rsidR="007768C0" w:rsidRDefault="007768C0" w:rsidP="00B65C59">
      <w:pPr>
        <w:spacing w:line="0" w:lineRule="atLeast"/>
        <w:jc w:val="center"/>
        <w:rPr>
          <w:rFonts w:ascii="Dubai" w:hAnsi="Dubai" w:cs="Dubai"/>
          <w:b/>
          <w:bCs/>
          <w:sz w:val="20"/>
          <w:szCs w:val="20"/>
          <w:lang w:val="en-GB"/>
        </w:rPr>
      </w:pPr>
    </w:p>
    <w:p w14:paraId="67671C0E" w14:textId="77777777" w:rsidR="007768C0" w:rsidRDefault="007768C0" w:rsidP="00B65C59">
      <w:pPr>
        <w:spacing w:line="0" w:lineRule="atLeast"/>
        <w:jc w:val="center"/>
        <w:rPr>
          <w:rFonts w:ascii="Dubai" w:hAnsi="Dubai" w:cs="Dubai"/>
          <w:b/>
          <w:bCs/>
          <w:sz w:val="20"/>
          <w:szCs w:val="20"/>
          <w:lang w:val="en-GB"/>
        </w:rPr>
      </w:pPr>
    </w:p>
    <w:p w14:paraId="5F6CAAC1" w14:textId="77777777" w:rsidR="007768C0" w:rsidRDefault="007768C0" w:rsidP="00B65C59">
      <w:pPr>
        <w:spacing w:line="0" w:lineRule="atLeast"/>
        <w:jc w:val="center"/>
        <w:rPr>
          <w:rFonts w:ascii="Dubai" w:hAnsi="Dubai" w:cs="Dubai"/>
          <w:b/>
          <w:bCs/>
          <w:sz w:val="20"/>
          <w:szCs w:val="20"/>
          <w:lang w:val="en-GB"/>
        </w:rPr>
      </w:pPr>
    </w:p>
    <w:p w14:paraId="2A079AF3" w14:textId="77777777" w:rsidR="007768C0" w:rsidRDefault="007768C0" w:rsidP="00B65C59">
      <w:pPr>
        <w:spacing w:line="0" w:lineRule="atLeast"/>
        <w:jc w:val="center"/>
        <w:rPr>
          <w:rFonts w:ascii="Dubai" w:hAnsi="Dubai" w:cs="Dubai"/>
          <w:b/>
          <w:bCs/>
          <w:sz w:val="20"/>
          <w:szCs w:val="20"/>
          <w:lang w:val="en-GB"/>
        </w:rPr>
      </w:pPr>
    </w:p>
    <w:p w14:paraId="4D320028" w14:textId="77777777" w:rsidR="007768C0" w:rsidRDefault="007768C0" w:rsidP="00B65C59">
      <w:pPr>
        <w:spacing w:line="0" w:lineRule="atLeast"/>
        <w:jc w:val="center"/>
        <w:rPr>
          <w:rFonts w:ascii="Dubai" w:hAnsi="Dubai" w:cs="Dubai"/>
          <w:b/>
          <w:bCs/>
          <w:sz w:val="20"/>
          <w:szCs w:val="20"/>
          <w:lang w:val="en-GB"/>
        </w:rPr>
      </w:pPr>
    </w:p>
    <w:p w14:paraId="46B52A13" w14:textId="77777777" w:rsidR="007768C0" w:rsidRDefault="007768C0" w:rsidP="00B65C59">
      <w:pPr>
        <w:spacing w:line="0" w:lineRule="atLeast"/>
        <w:jc w:val="center"/>
        <w:rPr>
          <w:rFonts w:ascii="Dubai" w:hAnsi="Dubai" w:cs="Dubai"/>
          <w:b/>
          <w:bCs/>
          <w:sz w:val="20"/>
          <w:szCs w:val="20"/>
          <w:lang w:val="en-GB"/>
        </w:rPr>
      </w:pPr>
    </w:p>
    <w:p w14:paraId="5E01D4C6" w14:textId="77777777" w:rsidR="007768C0" w:rsidRPr="00B65C59" w:rsidRDefault="007768C0" w:rsidP="00B65C59">
      <w:pPr>
        <w:spacing w:line="0" w:lineRule="atLeast"/>
        <w:jc w:val="center"/>
        <w:rPr>
          <w:rFonts w:ascii="Dubai" w:hAnsi="Dubai" w:cs="Dubai"/>
          <w:b/>
          <w:bCs/>
          <w:sz w:val="20"/>
          <w:szCs w:val="20"/>
          <w:lang w:val="en-GB"/>
        </w:rPr>
      </w:pPr>
    </w:p>
    <w:p w14:paraId="41C25700" w14:textId="77777777" w:rsidR="00090C2A" w:rsidRDefault="00090C2A">
      <w:pPr>
        <w:spacing w:after="160" w:line="259" w:lineRule="auto"/>
        <w:rPr>
          <w:rFonts w:ascii="Dubai" w:eastAsia="Calibri" w:hAnsi="Dubai" w:cs="Dubai"/>
          <w:b/>
          <w:bCs/>
          <w:sz w:val="20"/>
          <w:szCs w:val="20"/>
          <w:lang w:val="en-AE"/>
        </w:rPr>
      </w:pPr>
      <w:r>
        <w:rPr>
          <w:rFonts w:ascii="Dubai" w:eastAsia="Calibri" w:hAnsi="Dubai" w:cs="Dubai"/>
          <w:b/>
          <w:bCs/>
          <w:sz w:val="20"/>
          <w:szCs w:val="20"/>
          <w:lang w:val="en-AE"/>
        </w:rPr>
        <w:br w:type="page"/>
      </w:r>
    </w:p>
    <w:p w14:paraId="14410AE5" w14:textId="6C8B943A" w:rsidR="001C3381" w:rsidRPr="001C3381" w:rsidRDefault="001C3381" w:rsidP="001C3381">
      <w:pPr>
        <w:ind w:left="-284" w:right="-279"/>
        <w:rPr>
          <w:rFonts w:ascii="Dubai" w:eastAsia="Calibri" w:hAnsi="Dubai" w:cs="Dubai"/>
          <w:b/>
          <w:bCs/>
          <w:sz w:val="20"/>
          <w:szCs w:val="20"/>
          <w:lang w:val="en-AE"/>
        </w:rPr>
      </w:pPr>
      <w:r w:rsidRPr="001C3381">
        <w:rPr>
          <w:rFonts w:ascii="Dubai" w:eastAsia="Calibri" w:hAnsi="Dubai" w:cs="Dubai"/>
          <w:b/>
          <w:bCs/>
          <w:sz w:val="20"/>
          <w:szCs w:val="20"/>
          <w:lang w:val="en-AE"/>
        </w:rPr>
        <w:lastRenderedPageBreak/>
        <w:t>About Azizi Developments</w:t>
      </w:r>
    </w:p>
    <w:p w14:paraId="1E4BC158" w14:textId="77777777" w:rsidR="001C3381" w:rsidRPr="001C3381" w:rsidRDefault="001C3381" w:rsidP="003A1846">
      <w:pPr>
        <w:ind w:left="-284" w:right="-279"/>
        <w:jc w:val="both"/>
        <w:rPr>
          <w:rFonts w:ascii="Dubai" w:eastAsia="Calibri" w:hAnsi="Dubai" w:cs="Dubai"/>
          <w:sz w:val="20"/>
          <w:szCs w:val="20"/>
          <w:lang w:val="en-AE"/>
        </w:rPr>
      </w:pPr>
      <w:r w:rsidRPr="001C3381">
        <w:rPr>
          <w:rFonts w:ascii="Dubai" w:eastAsia="Calibri" w:hAnsi="Dubai" w:cs="Dubai"/>
          <w:sz w:val="20"/>
          <w:szCs w:val="20"/>
          <w:lang w:val="en-AE"/>
        </w:rPr>
        <w:t>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customer-centricity. Azizi’s residential and commercial properties are investor-friendly, catering to all lifestyles. The developer makes it its international mission to develop lifestyles and enrich the lives of its residents with a focus on catalyzing the vision and development of the markets that it operates in. </w:t>
      </w:r>
    </w:p>
    <w:p w14:paraId="5B4511C0" w14:textId="77777777" w:rsidR="001C3381" w:rsidRPr="001C3381" w:rsidRDefault="001C3381" w:rsidP="003A1846">
      <w:pPr>
        <w:ind w:left="-284" w:right="-279"/>
        <w:jc w:val="both"/>
        <w:rPr>
          <w:rFonts w:ascii="Dubai" w:eastAsia="Calibri" w:hAnsi="Dubai" w:cs="Dubai"/>
          <w:sz w:val="20"/>
          <w:szCs w:val="20"/>
          <w:lang w:val="en-AE"/>
        </w:rPr>
      </w:pPr>
      <w:r w:rsidRPr="001C3381">
        <w:rPr>
          <w:rFonts w:ascii="Dubai" w:eastAsia="Calibri" w:hAnsi="Dubai" w:cs="Dubai"/>
          <w:sz w:val="20"/>
          <w:szCs w:val="20"/>
          <w:lang w:val="en-AE"/>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03C6E937" w14:textId="77777777" w:rsidR="001C3381" w:rsidRPr="001C3381" w:rsidRDefault="001C3381" w:rsidP="001C3381">
      <w:pPr>
        <w:ind w:left="-284" w:right="-279"/>
        <w:rPr>
          <w:rFonts w:ascii="Dubai" w:eastAsia="Calibri" w:hAnsi="Dubai" w:cs="Dubai"/>
          <w:b/>
          <w:bCs/>
          <w:sz w:val="20"/>
          <w:szCs w:val="20"/>
          <w:lang w:val="en-AE"/>
        </w:rPr>
      </w:pPr>
      <w:r w:rsidRPr="001C3381">
        <w:rPr>
          <w:rFonts w:ascii="Dubai" w:eastAsia="Calibri" w:hAnsi="Dubai" w:cs="Dubai"/>
          <w:b/>
          <w:bCs/>
          <w:sz w:val="20"/>
          <w:szCs w:val="20"/>
          <w:lang w:val="en-AE"/>
        </w:rPr>
        <w:t>For further information about Azizi Developments, please contact: </w:t>
      </w:r>
    </w:p>
    <w:p w14:paraId="626CB52C" w14:textId="6DE17678" w:rsidR="00CA43FD" w:rsidRPr="003A1846" w:rsidRDefault="001C3381" w:rsidP="003A1846">
      <w:pPr>
        <w:ind w:left="-284" w:right="-279"/>
        <w:rPr>
          <w:rFonts w:ascii="Dubai" w:eastAsia="Calibri" w:hAnsi="Dubai" w:cs="Dubai"/>
          <w:sz w:val="20"/>
          <w:szCs w:val="20"/>
          <w:lang w:val="en-AE"/>
        </w:rPr>
      </w:pPr>
      <w:r w:rsidRPr="001C3381">
        <w:rPr>
          <w:rFonts w:ascii="Dubai" w:eastAsia="Calibri" w:hAnsi="Dubai" w:cs="Dubai"/>
          <w:sz w:val="20"/>
          <w:szCs w:val="20"/>
          <w:lang w:val="en-AE"/>
        </w:rPr>
        <w:t>Tizian H. G. Raab</w:t>
      </w:r>
      <w:r w:rsidR="003A1846">
        <w:rPr>
          <w:rFonts w:ascii="Dubai" w:eastAsia="Calibri" w:hAnsi="Dubai" w:cs="Dubai"/>
          <w:sz w:val="20"/>
          <w:szCs w:val="20"/>
          <w:lang w:val="en-AE"/>
        </w:rPr>
        <w:br/>
      </w:r>
      <w:r w:rsidRPr="001C3381">
        <w:rPr>
          <w:rFonts w:ascii="Dubai" w:eastAsia="Calibri" w:hAnsi="Dubai" w:cs="Dubai"/>
          <w:sz w:val="20"/>
          <w:szCs w:val="20"/>
          <w:lang w:val="en-AE"/>
        </w:rPr>
        <w:t>Head of Public Relations and Communications, CEO’s Office</w:t>
      </w:r>
      <w:r w:rsidR="003A1846">
        <w:rPr>
          <w:rFonts w:ascii="Dubai" w:eastAsia="Calibri" w:hAnsi="Dubai" w:cs="Dubai"/>
          <w:sz w:val="20"/>
          <w:szCs w:val="20"/>
          <w:lang w:val="en-AE"/>
        </w:rPr>
        <w:br/>
      </w:r>
      <w:r w:rsidRPr="001C3381">
        <w:rPr>
          <w:rFonts w:ascii="Dubai" w:eastAsia="Calibri" w:hAnsi="Dubai" w:cs="Dubai"/>
          <w:sz w:val="20"/>
          <w:szCs w:val="20"/>
          <w:lang w:val="en-AE"/>
        </w:rPr>
        <w:t>M: +971 55 867 3606 </w:t>
      </w:r>
      <w:r w:rsidR="003A1846">
        <w:rPr>
          <w:rFonts w:ascii="Dubai" w:eastAsia="Calibri" w:hAnsi="Dubai" w:cs="Dubai"/>
          <w:sz w:val="20"/>
          <w:szCs w:val="20"/>
          <w:lang w:val="en-AE"/>
        </w:rPr>
        <w:br/>
      </w:r>
      <w:r w:rsidRPr="001C3381">
        <w:rPr>
          <w:rFonts w:ascii="Dubai" w:eastAsia="Calibri" w:hAnsi="Dubai" w:cs="Dubai"/>
          <w:sz w:val="20"/>
          <w:szCs w:val="20"/>
          <w:lang w:val="en-AE"/>
        </w:rPr>
        <w:t xml:space="preserve">Email: </w:t>
      </w:r>
      <w:hyperlink r:id="rId7" w:history="1">
        <w:r w:rsidRPr="001C3381">
          <w:rPr>
            <w:rStyle w:val="Hyperlink"/>
            <w:rFonts w:ascii="Dubai" w:eastAsia="Calibri" w:hAnsi="Dubai" w:cs="Dubai"/>
            <w:sz w:val="20"/>
            <w:szCs w:val="20"/>
            <w:lang w:val="en-AE"/>
          </w:rPr>
          <w:t>tizian@azizidevelopments.com</w:t>
        </w:r>
      </w:hyperlink>
    </w:p>
    <w:p w14:paraId="7F6F4254" w14:textId="77777777" w:rsidR="00CA43FD" w:rsidRPr="003674EE" w:rsidRDefault="00CA43FD" w:rsidP="00CA43FD">
      <w:pPr>
        <w:spacing w:before="240" w:after="240"/>
        <w:rPr>
          <w:rFonts w:ascii="Dubai" w:eastAsia="Calibri" w:hAnsi="Dubai" w:cs="Dubai"/>
          <w:b/>
          <w:bCs/>
          <w:sz w:val="20"/>
          <w:szCs w:val="20"/>
        </w:rPr>
      </w:pPr>
    </w:p>
    <w:p w14:paraId="6A509F8D" w14:textId="77777777" w:rsidR="00CA43FD" w:rsidRPr="003674EE" w:rsidRDefault="00CA43FD" w:rsidP="00CA43FD">
      <w:pPr>
        <w:spacing w:before="240" w:after="240"/>
        <w:rPr>
          <w:rFonts w:ascii="Dubai" w:eastAsia="Calibri" w:hAnsi="Dubai" w:cs="Dubai"/>
          <w:b/>
          <w:bCs/>
          <w:sz w:val="20"/>
          <w:szCs w:val="20"/>
        </w:rPr>
      </w:pPr>
    </w:p>
    <w:p w14:paraId="3205DAFC" w14:textId="77777777" w:rsidR="00CA43FD" w:rsidRPr="0025520C" w:rsidRDefault="00CA43FD" w:rsidP="00CA43FD">
      <w:pPr>
        <w:rPr>
          <w:rFonts w:ascii="Dubai" w:hAnsi="Dubai" w:cs="Dubai"/>
        </w:rPr>
      </w:pPr>
    </w:p>
    <w:p w14:paraId="05BDF32A" w14:textId="77777777" w:rsidR="00F35981" w:rsidRPr="008A55FF" w:rsidRDefault="00F35981">
      <w:pPr>
        <w:rPr>
          <w:rFonts w:ascii="Dubai" w:hAnsi="Dubai" w:cs="Dubai"/>
        </w:rPr>
      </w:pPr>
    </w:p>
    <w:sectPr w:rsidR="00F35981" w:rsidRPr="008A55F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77FA95" w14:textId="77777777" w:rsidR="007D15AA" w:rsidRDefault="007D15AA">
      <w:pPr>
        <w:spacing w:after="0" w:line="240" w:lineRule="auto"/>
      </w:pPr>
      <w:r>
        <w:separator/>
      </w:r>
    </w:p>
  </w:endnote>
  <w:endnote w:type="continuationSeparator" w:id="0">
    <w:p w14:paraId="43A9278F" w14:textId="77777777" w:rsidR="007D15AA" w:rsidRDefault="007D1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B2"/>
    <w:family w:val="swiss"/>
    <w:pitch w:val="variable"/>
    <w:sig w:usb0="80002067"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63ACE" w14:textId="77777777" w:rsidR="007D15AA" w:rsidRDefault="007D15AA">
      <w:pPr>
        <w:spacing w:after="0" w:line="240" w:lineRule="auto"/>
      </w:pPr>
      <w:r>
        <w:separator/>
      </w:r>
    </w:p>
  </w:footnote>
  <w:footnote w:type="continuationSeparator" w:id="0">
    <w:p w14:paraId="534CDB25" w14:textId="77777777" w:rsidR="007D15AA" w:rsidRDefault="007D15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7E2E" w14:textId="2707D45D" w:rsidR="00785210"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653144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rgUAMgE5dCwAAAA="/>
  </w:docVars>
  <w:rsids>
    <w:rsidRoot w:val="00B154A3"/>
    <w:rsid w:val="000167DC"/>
    <w:rsid w:val="00022093"/>
    <w:rsid w:val="00025C0F"/>
    <w:rsid w:val="00065715"/>
    <w:rsid w:val="00066ABA"/>
    <w:rsid w:val="00073500"/>
    <w:rsid w:val="0009002A"/>
    <w:rsid w:val="00090C2A"/>
    <w:rsid w:val="000F4EC7"/>
    <w:rsid w:val="00112E9F"/>
    <w:rsid w:val="00135F21"/>
    <w:rsid w:val="0014603B"/>
    <w:rsid w:val="00172D6A"/>
    <w:rsid w:val="00194F3E"/>
    <w:rsid w:val="001C0489"/>
    <w:rsid w:val="001C04BC"/>
    <w:rsid w:val="001C123D"/>
    <w:rsid w:val="001C3381"/>
    <w:rsid w:val="00216392"/>
    <w:rsid w:val="00242949"/>
    <w:rsid w:val="002556E2"/>
    <w:rsid w:val="0028065C"/>
    <w:rsid w:val="002D628A"/>
    <w:rsid w:val="002F62D0"/>
    <w:rsid w:val="00307E5E"/>
    <w:rsid w:val="003502EF"/>
    <w:rsid w:val="00366AB4"/>
    <w:rsid w:val="00367101"/>
    <w:rsid w:val="003A1846"/>
    <w:rsid w:val="003B59E7"/>
    <w:rsid w:val="003B7B13"/>
    <w:rsid w:val="003C3FD9"/>
    <w:rsid w:val="004553E3"/>
    <w:rsid w:val="00495A1B"/>
    <w:rsid w:val="004D1FB7"/>
    <w:rsid w:val="004D24AB"/>
    <w:rsid w:val="00545DE9"/>
    <w:rsid w:val="00552960"/>
    <w:rsid w:val="005B1088"/>
    <w:rsid w:val="005B5819"/>
    <w:rsid w:val="005B7840"/>
    <w:rsid w:val="005E7D8C"/>
    <w:rsid w:val="005F4A43"/>
    <w:rsid w:val="00607BF0"/>
    <w:rsid w:val="00615B50"/>
    <w:rsid w:val="00620749"/>
    <w:rsid w:val="00647E5F"/>
    <w:rsid w:val="006566A0"/>
    <w:rsid w:val="00656D01"/>
    <w:rsid w:val="00672824"/>
    <w:rsid w:val="006819BD"/>
    <w:rsid w:val="00696D6B"/>
    <w:rsid w:val="006D41CB"/>
    <w:rsid w:val="006E625A"/>
    <w:rsid w:val="007659DF"/>
    <w:rsid w:val="007768C0"/>
    <w:rsid w:val="00785210"/>
    <w:rsid w:val="007A63EA"/>
    <w:rsid w:val="007C5B7C"/>
    <w:rsid w:val="007D15AA"/>
    <w:rsid w:val="007D5D01"/>
    <w:rsid w:val="00831ABD"/>
    <w:rsid w:val="00852484"/>
    <w:rsid w:val="00855CF1"/>
    <w:rsid w:val="00856D90"/>
    <w:rsid w:val="00880A47"/>
    <w:rsid w:val="008837AA"/>
    <w:rsid w:val="008A21EE"/>
    <w:rsid w:val="008A25B4"/>
    <w:rsid w:val="008A4EF8"/>
    <w:rsid w:val="008A55FF"/>
    <w:rsid w:val="008C2EBC"/>
    <w:rsid w:val="008D7D7F"/>
    <w:rsid w:val="008E109D"/>
    <w:rsid w:val="008F76DB"/>
    <w:rsid w:val="0090392B"/>
    <w:rsid w:val="00904147"/>
    <w:rsid w:val="00911EBA"/>
    <w:rsid w:val="00921B7D"/>
    <w:rsid w:val="0095172B"/>
    <w:rsid w:val="009571DE"/>
    <w:rsid w:val="0096420F"/>
    <w:rsid w:val="009737D0"/>
    <w:rsid w:val="009B4464"/>
    <w:rsid w:val="00A17A94"/>
    <w:rsid w:val="00A249FA"/>
    <w:rsid w:val="00A32C3A"/>
    <w:rsid w:val="00A4431B"/>
    <w:rsid w:val="00A61D80"/>
    <w:rsid w:val="00A906A7"/>
    <w:rsid w:val="00AC0FE6"/>
    <w:rsid w:val="00AC3FC3"/>
    <w:rsid w:val="00AD065F"/>
    <w:rsid w:val="00AE13B3"/>
    <w:rsid w:val="00B154A3"/>
    <w:rsid w:val="00B26520"/>
    <w:rsid w:val="00B643BA"/>
    <w:rsid w:val="00B65C59"/>
    <w:rsid w:val="00BA5311"/>
    <w:rsid w:val="00BC6DFD"/>
    <w:rsid w:val="00BD32EA"/>
    <w:rsid w:val="00C32981"/>
    <w:rsid w:val="00C373F3"/>
    <w:rsid w:val="00C46FA8"/>
    <w:rsid w:val="00C60FE4"/>
    <w:rsid w:val="00C617B3"/>
    <w:rsid w:val="00C659BE"/>
    <w:rsid w:val="00C706C4"/>
    <w:rsid w:val="00CA43FD"/>
    <w:rsid w:val="00CC670E"/>
    <w:rsid w:val="00D464C7"/>
    <w:rsid w:val="00D630C3"/>
    <w:rsid w:val="00D84189"/>
    <w:rsid w:val="00DA00F4"/>
    <w:rsid w:val="00DA5850"/>
    <w:rsid w:val="00DB1F52"/>
    <w:rsid w:val="00DE389D"/>
    <w:rsid w:val="00DF1040"/>
    <w:rsid w:val="00DF7392"/>
    <w:rsid w:val="00E03AF0"/>
    <w:rsid w:val="00E044B9"/>
    <w:rsid w:val="00E064C0"/>
    <w:rsid w:val="00E109CA"/>
    <w:rsid w:val="00E25E81"/>
    <w:rsid w:val="00E32E1B"/>
    <w:rsid w:val="00E370C7"/>
    <w:rsid w:val="00E749F8"/>
    <w:rsid w:val="00E77A77"/>
    <w:rsid w:val="00E836EE"/>
    <w:rsid w:val="00E942D2"/>
    <w:rsid w:val="00EA402B"/>
    <w:rsid w:val="00EA6614"/>
    <w:rsid w:val="00EB4AFE"/>
    <w:rsid w:val="00EE35F9"/>
    <w:rsid w:val="00EE5369"/>
    <w:rsid w:val="00EE6F8B"/>
    <w:rsid w:val="00EE7B7F"/>
    <w:rsid w:val="00F0370E"/>
    <w:rsid w:val="00F11B98"/>
    <w:rsid w:val="00F130BB"/>
    <w:rsid w:val="00F2758E"/>
    <w:rsid w:val="00F32B72"/>
    <w:rsid w:val="00F35981"/>
    <w:rsid w:val="00F5323D"/>
    <w:rsid w:val="00F60F98"/>
    <w:rsid w:val="00F627E4"/>
    <w:rsid w:val="00F6525E"/>
    <w:rsid w:val="00F96B98"/>
    <w:rsid w:val="00F978F4"/>
    <w:rsid w:val="00FA3542"/>
    <w:rsid w:val="00FC2EFE"/>
    <w:rsid w:val="00FC4E6C"/>
    <w:rsid w:val="00FE4F97"/>
    <w:rsid w:val="00FE5774"/>
    <w:rsid w:val="00FE7DCF"/>
    <w:rsid w:val="00FF21BE"/>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character" w:styleId="UnresolvedMention">
    <w:name w:val="Unresolved Mention"/>
    <w:basedOn w:val="DefaultParagraphFont"/>
    <w:uiPriority w:val="99"/>
    <w:semiHidden/>
    <w:unhideWhenUsed/>
    <w:rsid w:val="001C33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501936">
      <w:bodyDiv w:val="1"/>
      <w:marLeft w:val="0"/>
      <w:marRight w:val="0"/>
      <w:marTop w:val="0"/>
      <w:marBottom w:val="0"/>
      <w:divBdr>
        <w:top w:val="none" w:sz="0" w:space="0" w:color="auto"/>
        <w:left w:val="none" w:sz="0" w:space="0" w:color="auto"/>
        <w:bottom w:val="none" w:sz="0" w:space="0" w:color="auto"/>
        <w:right w:val="none" w:sz="0" w:space="0" w:color="auto"/>
      </w:divBdr>
    </w:div>
    <w:div w:id="109017333">
      <w:bodyDiv w:val="1"/>
      <w:marLeft w:val="0"/>
      <w:marRight w:val="0"/>
      <w:marTop w:val="0"/>
      <w:marBottom w:val="0"/>
      <w:divBdr>
        <w:top w:val="none" w:sz="0" w:space="0" w:color="auto"/>
        <w:left w:val="none" w:sz="0" w:space="0" w:color="auto"/>
        <w:bottom w:val="none" w:sz="0" w:space="0" w:color="auto"/>
        <w:right w:val="none" w:sz="0" w:space="0" w:color="auto"/>
      </w:divBdr>
    </w:div>
    <w:div w:id="188644079">
      <w:bodyDiv w:val="1"/>
      <w:marLeft w:val="0"/>
      <w:marRight w:val="0"/>
      <w:marTop w:val="0"/>
      <w:marBottom w:val="0"/>
      <w:divBdr>
        <w:top w:val="none" w:sz="0" w:space="0" w:color="auto"/>
        <w:left w:val="none" w:sz="0" w:space="0" w:color="auto"/>
        <w:bottom w:val="none" w:sz="0" w:space="0" w:color="auto"/>
        <w:right w:val="none" w:sz="0" w:space="0" w:color="auto"/>
      </w:divBdr>
    </w:div>
    <w:div w:id="232157646">
      <w:bodyDiv w:val="1"/>
      <w:marLeft w:val="0"/>
      <w:marRight w:val="0"/>
      <w:marTop w:val="0"/>
      <w:marBottom w:val="0"/>
      <w:divBdr>
        <w:top w:val="none" w:sz="0" w:space="0" w:color="auto"/>
        <w:left w:val="none" w:sz="0" w:space="0" w:color="auto"/>
        <w:bottom w:val="none" w:sz="0" w:space="0" w:color="auto"/>
        <w:right w:val="none" w:sz="0" w:space="0" w:color="auto"/>
      </w:divBdr>
    </w:div>
    <w:div w:id="313728590">
      <w:bodyDiv w:val="1"/>
      <w:marLeft w:val="0"/>
      <w:marRight w:val="0"/>
      <w:marTop w:val="0"/>
      <w:marBottom w:val="0"/>
      <w:divBdr>
        <w:top w:val="none" w:sz="0" w:space="0" w:color="auto"/>
        <w:left w:val="none" w:sz="0" w:space="0" w:color="auto"/>
        <w:bottom w:val="none" w:sz="0" w:space="0" w:color="auto"/>
        <w:right w:val="none" w:sz="0" w:space="0" w:color="auto"/>
      </w:divBdr>
    </w:div>
    <w:div w:id="724185852">
      <w:bodyDiv w:val="1"/>
      <w:marLeft w:val="0"/>
      <w:marRight w:val="0"/>
      <w:marTop w:val="0"/>
      <w:marBottom w:val="0"/>
      <w:divBdr>
        <w:top w:val="none" w:sz="0" w:space="0" w:color="auto"/>
        <w:left w:val="none" w:sz="0" w:space="0" w:color="auto"/>
        <w:bottom w:val="none" w:sz="0" w:space="0" w:color="auto"/>
        <w:right w:val="none" w:sz="0" w:space="0" w:color="auto"/>
      </w:divBdr>
    </w:div>
    <w:div w:id="806168556">
      <w:bodyDiv w:val="1"/>
      <w:marLeft w:val="0"/>
      <w:marRight w:val="0"/>
      <w:marTop w:val="0"/>
      <w:marBottom w:val="0"/>
      <w:divBdr>
        <w:top w:val="none" w:sz="0" w:space="0" w:color="auto"/>
        <w:left w:val="none" w:sz="0" w:space="0" w:color="auto"/>
        <w:bottom w:val="none" w:sz="0" w:space="0" w:color="auto"/>
        <w:right w:val="none" w:sz="0" w:space="0" w:color="auto"/>
      </w:divBdr>
    </w:div>
    <w:div w:id="995037742">
      <w:bodyDiv w:val="1"/>
      <w:marLeft w:val="0"/>
      <w:marRight w:val="0"/>
      <w:marTop w:val="0"/>
      <w:marBottom w:val="0"/>
      <w:divBdr>
        <w:top w:val="none" w:sz="0" w:space="0" w:color="auto"/>
        <w:left w:val="none" w:sz="0" w:space="0" w:color="auto"/>
        <w:bottom w:val="none" w:sz="0" w:space="0" w:color="auto"/>
        <w:right w:val="none" w:sz="0" w:space="0" w:color="auto"/>
      </w:divBdr>
    </w:div>
    <w:div w:id="1046299654">
      <w:bodyDiv w:val="1"/>
      <w:marLeft w:val="0"/>
      <w:marRight w:val="0"/>
      <w:marTop w:val="0"/>
      <w:marBottom w:val="0"/>
      <w:divBdr>
        <w:top w:val="none" w:sz="0" w:space="0" w:color="auto"/>
        <w:left w:val="none" w:sz="0" w:space="0" w:color="auto"/>
        <w:bottom w:val="none" w:sz="0" w:space="0" w:color="auto"/>
        <w:right w:val="none" w:sz="0" w:space="0" w:color="auto"/>
      </w:divBdr>
    </w:div>
    <w:div w:id="1053387270">
      <w:bodyDiv w:val="1"/>
      <w:marLeft w:val="0"/>
      <w:marRight w:val="0"/>
      <w:marTop w:val="0"/>
      <w:marBottom w:val="0"/>
      <w:divBdr>
        <w:top w:val="none" w:sz="0" w:space="0" w:color="auto"/>
        <w:left w:val="none" w:sz="0" w:space="0" w:color="auto"/>
        <w:bottom w:val="none" w:sz="0" w:space="0" w:color="auto"/>
        <w:right w:val="none" w:sz="0" w:space="0" w:color="auto"/>
      </w:divBdr>
    </w:div>
    <w:div w:id="1366057814">
      <w:bodyDiv w:val="1"/>
      <w:marLeft w:val="0"/>
      <w:marRight w:val="0"/>
      <w:marTop w:val="0"/>
      <w:marBottom w:val="0"/>
      <w:divBdr>
        <w:top w:val="none" w:sz="0" w:space="0" w:color="auto"/>
        <w:left w:val="none" w:sz="0" w:space="0" w:color="auto"/>
        <w:bottom w:val="none" w:sz="0" w:space="0" w:color="auto"/>
        <w:right w:val="none" w:sz="0" w:space="0" w:color="auto"/>
      </w:divBdr>
    </w:div>
    <w:div w:id="1471361344">
      <w:bodyDiv w:val="1"/>
      <w:marLeft w:val="0"/>
      <w:marRight w:val="0"/>
      <w:marTop w:val="0"/>
      <w:marBottom w:val="0"/>
      <w:divBdr>
        <w:top w:val="none" w:sz="0" w:space="0" w:color="auto"/>
        <w:left w:val="none" w:sz="0" w:space="0" w:color="auto"/>
        <w:bottom w:val="none" w:sz="0" w:space="0" w:color="auto"/>
        <w:right w:val="none" w:sz="0" w:space="0" w:color="auto"/>
      </w:divBdr>
    </w:div>
    <w:div w:id="1548836565">
      <w:bodyDiv w:val="1"/>
      <w:marLeft w:val="0"/>
      <w:marRight w:val="0"/>
      <w:marTop w:val="0"/>
      <w:marBottom w:val="0"/>
      <w:divBdr>
        <w:top w:val="none" w:sz="0" w:space="0" w:color="auto"/>
        <w:left w:val="none" w:sz="0" w:space="0" w:color="auto"/>
        <w:bottom w:val="none" w:sz="0" w:space="0" w:color="auto"/>
        <w:right w:val="none" w:sz="0" w:space="0" w:color="auto"/>
      </w:divBdr>
    </w:div>
    <w:div w:id="1576360465">
      <w:bodyDiv w:val="1"/>
      <w:marLeft w:val="0"/>
      <w:marRight w:val="0"/>
      <w:marTop w:val="0"/>
      <w:marBottom w:val="0"/>
      <w:divBdr>
        <w:top w:val="none" w:sz="0" w:space="0" w:color="auto"/>
        <w:left w:val="none" w:sz="0" w:space="0" w:color="auto"/>
        <w:bottom w:val="none" w:sz="0" w:space="0" w:color="auto"/>
        <w:right w:val="none" w:sz="0" w:space="0" w:color="auto"/>
      </w:divBdr>
    </w:div>
    <w:div w:id="1632437444">
      <w:bodyDiv w:val="1"/>
      <w:marLeft w:val="0"/>
      <w:marRight w:val="0"/>
      <w:marTop w:val="0"/>
      <w:marBottom w:val="0"/>
      <w:divBdr>
        <w:top w:val="none" w:sz="0" w:space="0" w:color="auto"/>
        <w:left w:val="none" w:sz="0" w:space="0" w:color="auto"/>
        <w:bottom w:val="none" w:sz="0" w:space="0" w:color="auto"/>
        <w:right w:val="none" w:sz="0" w:space="0" w:color="auto"/>
      </w:divBdr>
    </w:div>
    <w:div w:id="1706903884">
      <w:bodyDiv w:val="1"/>
      <w:marLeft w:val="0"/>
      <w:marRight w:val="0"/>
      <w:marTop w:val="0"/>
      <w:marBottom w:val="0"/>
      <w:divBdr>
        <w:top w:val="none" w:sz="0" w:space="0" w:color="auto"/>
        <w:left w:val="none" w:sz="0" w:space="0" w:color="auto"/>
        <w:bottom w:val="none" w:sz="0" w:space="0" w:color="auto"/>
        <w:right w:val="none" w:sz="0" w:space="0" w:color="auto"/>
      </w:divBdr>
    </w:div>
    <w:div w:id="1712877274">
      <w:bodyDiv w:val="1"/>
      <w:marLeft w:val="0"/>
      <w:marRight w:val="0"/>
      <w:marTop w:val="0"/>
      <w:marBottom w:val="0"/>
      <w:divBdr>
        <w:top w:val="none" w:sz="0" w:space="0" w:color="auto"/>
        <w:left w:val="none" w:sz="0" w:space="0" w:color="auto"/>
        <w:bottom w:val="none" w:sz="0" w:space="0" w:color="auto"/>
        <w:right w:val="none" w:sz="0" w:space="0" w:color="auto"/>
      </w:divBdr>
    </w:div>
    <w:div w:id="187311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2024-10-02T09:11:00Z</dcterms:created>
  <dcterms:modified xsi:type="dcterms:W3CDTF">2024-10-02T09:11:00Z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