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E97E0" w14:textId="77777777" w:rsidR="005667DE" w:rsidRDefault="005667DE">
      <w:pPr>
        <w:spacing w:line="240" w:lineRule="auto"/>
        <w:ind w:left="-426" w:right="-563"/>
        <w:jc w:val="both"/>
        <w:rPr>
          <w:rFonts w:ascii="Dubai" w:eastAsia="Dubai" w:hAnsi="Dubai" w:cs="Dubai"/>
          <w:b/>
          <w:sz w:val="24"/>
          <w:szCs w:val="24"/>
        </w:rPr>
      </w:pPr>
    </w:p>
    <w:p w14:paraId="2CE667ED" w14:textId="14F65C9D" w:rsidR="005667DE" w:rsidRPr="00EC692D" w:rsidRDefault="00000000" w:rsidP="00EC692D">
      <w:pPr>
        <w:pBdr>
          <w:top w:val="nil"/>
          <w:left w:val="nil"/>
          <w:bottom w:val="nil"/>
          <w:right w:val="nil"/>
          <w:between w:val="nil"/>
        </w:pBdr>
        <w:spacing w:after="0"/>
        <w:ind w:left="-426" w:right="-563"/>
        <w:jc w:val="center"/>
        <w:rPr>
          <w:rFonts w:ascii="Dubai" w:eastAsia="Dubai" w:hAnsi="Dubai" w:cs="Dubai"/>
          <w:b/>
          <w:color w:val="000000"/>
          <w:sz w:val="40"/>
          <w:szCs w:val="40"/>
        </w:rPr>
      </w:pPr>
      <w:r>
        <w:rPr>
          <w:rFonts w:ascii="Dubai" w:eastAsia="Dubai" w:hAnsi="Dubai" w:cs="Dubai"/>
          <w:b/>
          <w:color w:val="000000"/>
          <w:sz w:val="40"/>
          <w:szCs w:val="40"/>
        </w:rPr>
        <w:t xml:space="preserve">Azizi Developments’ Beach Oasis reaches 55% construction milestone </w:t>
      </w:r>
    </w:p>
    <w:p w14:paraId="243AEE13" w14:textId="77777777" w:rsidR="00EC692D" w:rsidRDefault="00EC692D">
      <w:pPr>
        <w:pBdr>
          <w:top w:val="nil"/>
          <w:left w:val="nil"/>
          <w:bottom w:val="nil"/>
          <w:right w:val="nil"/>
          <w:between w:val="nil"/>
        </w:pBdr>
        <w:spacing w:after="0" w:line="240" w:lineRule="auto"/>
        <w:ind w:left="-426" w:right="-563"/>
        <w:jc w:val="both"/>
        <w:rPr>
          <w:rFonts w:ascii="Dubai" w:eastAsia="Dubai" w:hAnsi="Dubai" w:cs="Dubai"/>
          <w:b/>
          <w:color w:val="000000"/>
        </w:rPr>
      </w:pPr>
    </w:p>
    <w:p w14:paraId="1E2DC6B1" w14:textId="4D933A93" w:rsidR="005667DE" w:rsidRDefault="00000000">
      <w:pPr>
        <w:pBdr>
          <w:top w:val="nil"/>
          <w:left w:val="nil"/>
          <w:bottom w:val="nil"/>
          <w:right w:val="nil"/>
          <w:between w:val="nil"/>
        </w:pBdr>
        <w:spacing w:after="0" w:line="240" w:lineRule="auto"/>
        <w:ind w:left="-426" w:right="-563"/>
        <w:jc w:val="both"/>
        <w:rPr>
          <w:rFonts w:ascii="Dubai" w:eastAsia="Dubai" w:hAnsi="Dubai" w:cs="Dubai"/>
          <w:color w:val="000000"/>
        </w:rPr>
      </w:pPr>
      <w:r>
        <w:rPr>
          <w:rFonts w:ascii="Dubai" w:eastAsia="Dubai" w:hAnsi="Dubai" w:cs="Dubai"/>
          <w:b/>
          <w:color w:val="000000"/>
        </w:rPr>
        <w:t>Dubai, United Arab Emirates, 31 October 2024:</w:t>
      </w:r>
      <w:r>
        <w:rPr>
          <w:rFonts w:ascii="Dubai" w:eastAsia="Dubai" w:hAnsi="Dubai" w:cs="Dubai"/>
          <w:color w:val="000000"/>
        </w:rPr>
        <w:t xml:space="preserve"> Azizi Developments, a leading private developer in the UAE, has announced the 55% construction completion of Beach Oasis, its vibrant mixed-use community located in one of the emirate’s most dynamic and youthful areas, Dubai Studio City. Beach Oasis is scheduled for handover in Q3 of 2025.</w:t>
      </w:r>
      <w:bookmarkStart w:id="0" w:name="bookmark=id.30j0zll" w:colFirst="0" w:colLast="0"/>
      <w:bookmarkStart w:id="1" w:name="bookmark=id.gjdgxs" w:colFirst="0" w:colLast="0"/>
      <w:bookmarkEnd w:id="0"/>
      <w:bookmarkEnd w:id="1"/>
    </w:p>
    <w:p w14:paraId="5D2C34BD" w14:textId="6D95081F" w:rsidR="005667DE" w:rsidRDefault="00000000">
      <w:pPr>
        <w:pBdr>
          <w:top w:val="nil"/>
          <w:left w:val="nil"/>
          <w:bottom w:val="nil"/>
          <w:right w:val="nil"/>
          <w:between w:val="nil"/>
        </w:pBdr>
        <w:spacing w:after="0" w:line="240" w:lineRule="auto"/>
        <w:ind w:left="-426" w:right="-563"/>
        <w:jc w:val="both"/>
        <w:rPr>
          <w:rFonts w:ascii="Dubai" w:eastAsia="Dubai" w:hAnsi="Dubai" w:cs="Dubai"/>
          <w:color w:val="000000"/>
        </w:rPr>
      </w:pPr>
      <w:r>
        <w:rPr>
          <w:rFonts w:ascii="Dubai" w:eastAsia="Dubai" w:hAnsi="Dubai" w:cs="Dubai"/>
          <w:b/>
          <w:color w:val="000000"/>
        </w:rPr>
        <w:br/>
      </w:r>
      <w:r>
        <w:rPr>
          <w:rFonts w:ascii="Dubai" w:eastAsia="Dubai" w:hAnsi="Dubai" w:cs="Dubai"/>
          <w:color w:val="000000"/>
        </w:rPr>
        <w:t xml:space="preserve">The structural build </w:t>
      </w:r>
      <w:r>
        <w:rPr>
          <w:rFonts w:ascii="Dubai" w:eastAsia="Dubai" w:hAnsi="Dubai" w:cs="Dubai"/>
        </w:rPr>
        <w:t>is at</w:t>
      </w:r>
      <w:r>
        <w:rPr>
          <w:rFonts w:ascii="Dubai" w:eastAsia="Dubai" w:hAnsi="Dubai" w:cs="Dubai"/>
          <w:color w:val="000000"/>
        </w:rPr>
        <w:t xml:space="preserve"> 99%, while its blockwork, MEP, internal plastering, and HVAC have reached 88%, 45%, 41%, and 43% respectively, with the total workforce having been increased to 1,646</w:t>
      </w:r>
      <w:r w:rsidR="00EC692D">
        <w:rPr>
          <w:rFonts w:ascii="Dubai" w:eastAsia="Dubai" w:hAnsi="Dubai" w:cs="Dubai"/>
          <w:color w:val="000000"/>
        </w:rPr>
        <w:t>.</w:t>
      </w:r>
    </w:p>
    <w:p w14:paraId="03F01898" w14:textId="77777777" w:rsidR="005667DE" w:rsidRDefault="005667DE">
      <w:pPr>
        <w:pBdr>
          <w:top w:val="nil"/>
          <w:left w:val="nil"/>
          <w:bottom w:val="nil"/>
          <w:right w:val="nil"/>
          <w:between w:val="nil"/>
        </w:pBdr>
        <w:spacing w:after="0" w:line="240" w:lineRule="auto"/>
        <w:ind w:left="-426" w:right="-563"/>
        <w:jc w:val="both"/>
        <w:rPr>
          <w:rFonts w:ascii="Dubai" w:eastAsia="Dubai" w:hAnsi="Dubai" w:cs="Dubai"/>
          <w:color w:val="000000"/>
        </w:rPr>
      </w:pPr>
    </w:p>
    <w:p w14:paraId="2CEC4235" w14:textId="09658A9F" w:rsidR="005667DE" w:rsidRDefault="00000000">
      <w:pPr>
        <w:pBdr>
          <w:top w:val="nil"/>
          <w:left w:val="nil"/>
          <w:bottom w:val="nil"/>
          <w:right w:val="nil"/>
          <w:between w:val="nil"/>
        </w:pBdr>
        <w:spacing w:after="120" w:line="240" w:lineRule="auto"/>
        <w:ind w:left="-426" w:right="-563"/>
        <w:jc w:val="both"/>
        <w:rPr>
          <w:rFonts w:ascii="Dubai" w:eastAsia="Dubai" w:hAnsi="Dubai" w:cs="Dubai"/>
          <w:color w:val="000000"/>
        </w:rPr>
      </w:pPr>
      <w:r>
        <w:rPr>
          <w:rFonts w:ascii="Dubai" w:eastAsia="Dubai" w:hAnsi="Dubai" w:cs="Dubai"/>
          <w:color w:val="000000"/>
        </w:rPr>
        <w:t xml:space="preserve">Comprising 476 studios, 200 one-bedroom homes, and 36 two-bedroom residences spread across two buildings, Beach Oasis is a modern low-rise residential community that features an outstanding array of amenities, including a large beach-like swimming pool — the highlight of the project’s central courtyard — fully equipped gymnasiums, landscaped gardens, children’s play areas, and a central square with a multitude of retail options for the convenience of its residents. </w:t>
      </w:r>
    </w:p>
    <w:p w14:paraId="7EB4AD90" w14:textId="7B00AA1D" w:rsidR="005667DE" w:rsidRDefault="00EC692D">
      <w:pPr>
        <w:ind w:left="-426" w:right="-563"/>
        <w:jc w:val="both"/>
        <w:rPr>
          <w:rFonts w:ascii="Dubai" w:eastAsia="Dubai" w:hAnsi="Dubai" w:cs="Dubai"/>
        </w:rPr>
      </w:pPr>
      <w:bookmarkStart w:id="2" w:name="OLE_LINK3"/>
      <w:bookmarkStart w:id="3" w:name="OLE_LINK4"/>
      <w:r>
        <w:rPr>
          <w:rFonts w:ascii="Dubai" w:eastAsia="Dubai" w:hAnsi="Dubai" w:cs="Dubai"/>
        </w:rPr>
        <w:t xml:space="preserve">Mr. Mohamed </w:t>
      </w:r>
      <w:proofErr w:type="spellStart"/>
      <w:r>
        <w:rPr>
          <w:rFonts w:ascii="Dubai" w:eastAsia="Dubai" w:hAnsi="Dubai" w:cs="Dubai"/>
        </w:rPr>
        <w:t>Ragheb</w:t>
      </w:r>
      <w:proofErr w:type="spellEnd"/>
      <w:r>
        <w:rPr>
          <w:rFonts w:ascii="Dubai" w:eastAsia="Dubai" w:hAnsi="Dubai" w:cs="Dubai"/>
        </w:rPr>
        <w:t xml:space="preserve"> Hussein, Chief Development Officer at Azizi Developments, said: “We are thrilled to see the impressive advancement of Beach Oasis - a project that reflects the vision and commitment of Azizi Developments and our esteemed partners. Designed with world-class amenities in a prime location, Beach Oasis embodies our dedication to redefining modern living, offering residents and investors a truly unparalleled experience. Each phase of its construction shows the meticulous craftsmanship and quality standards we uphold, ensuring that Beach Oasis is nothing short of remarkable.”</w:t>
      </w:r>
    </w:p>
    <w:bookmarkEnd w:id="2"/>
    <w:bookmarkEnd w:id="3"/>
    <w:p w14:paraId="747363FF" w14:textId="77777777" w:rsidR="005667DE" w:rsidRDefault="00000000">
      <w:pPr>
        <w:ind w:left="-426" w:right="-563"/>
        <w:jc w:val="both"/>
        <w:rPr>
          <w:rFonts w:ascii="Dubai" w:eastAsia="Dubai" w:hAnsi="Dubai" w:cs="Dubai"/>
        </w:rPr>
      </w:pPr>
      <w:r>
        <w:rPr>
          <w:rFonts w:ascii="Dubai" w:eastAsia="Dubai" w:hAnsi="Dubai" w:cs="Dubai"/>
        </w:rPr>
        <w:t>Situated on Hessa Street near Sheikh Mohammed Bin Zayed Road, Studio City is a strategic location with excellent accessibility. Residents benefit from a wide range of nearby amenities, including schools and colleges, medical facilities, sports and leisure attractions, and much more. Major attractions in proximity include Dubai Autodrome, the Els Club, Dubai Polo &amp; Equestrian Club, Dubai International Stadium, Football Academy Dubai, Sports Park, ICC Academy, and Miracle Garden, among many others.</w:t>
      </w:r>
    </w:p>
    <w:p w14:paraId="10DD757A" w14:textId="199F03EF" w:rsidR="005667DE" w:rsidRPr="00C85C47" w:rsidRDefault="00000000" w:rsidP="00C85C47">
      <w:pPr>
        <w:ind w:left="-426" w:right="-563"/>
        <w:jc w:val="both"/>
        <w:rPr>
          <w:rFonts w:ascii="Dubai" w:eastAsia="Dubai" w:hAnsi="Dubai" w:cs="Dubai"/>
        </w:rPr>
      </w:pPr>
      <w:r>
        <w:rPr>
          <w:rFonts w:ascii="Dubai" w:eastAsia="Dubai" w:hAnsi="Dubai" w:cs="Dubai"/>
        </w:rPr>
        <w:t>Azizi Developments’ Sales Gallery can be visited on the 13th floor of the Conrad Hotel on Sheikh Zayed Road.</w:t>
      </w:r>
    </w:p>
    <w:p w14:paraId="574783CF" w14:textId="0D9EC7AE" w:rsidR="00EC692D" w:rsidRPr="00EC692D" w:rsidRDefault="00000000" w:rsidP="00EC692D">
      <w:pPr>
        <w:ind w:left="-426" w:right="-563"/>
        <w:jc w:val="center"/>
        <w:rPr>
          <w:rFonts w:ascii="Dubai" w:eastAsia="Dubai" w:hAnsi="Dubai" w:cs="Dubai"/>
          <w:b/>
          <w:sz w:val="20"/>
          <w:szCs w:val="20"/>
        </w:rPr>
      </w:pPr>
      <w:r>
        <w:rPr>
          <w:rFonts w:ascii="Dubai" w:eastAsia="Dubai" w:hAnsi="Dubai" w:cs="Dubai"/>
          <w:b/>
          <w:sz w:val="24"/>
          <w:szCs w:val="24"/>
        </w:rPr>
        <w:lastRenderedPageBreak/>
        <w:t>-Ends-</w:t>
      </w:r>
    </w:p>
    <w:p w14:paraId="1A9C657F" w14:textId="068F1860" w:rsidR="005667DE" w:rsidRDefault="00000000">
      <w:pPr>
        <w:spacing w:after="160" w:line="240" w:lineRule="auto"/>
        <w:rPr>
          <w:rFonts w:ascii="Times New Roman" w:eastAsia="Times New Roman" w:hAnsi="Times New Roman" w:cs="Times New Roman"/>
          <w:sz w:val="24"/>
          <w:szCs w:val="24"/>
        </w:rPr>
      </w:pPr>
      <w:r>
        <w:rPr>
          <w:rFonts w:ascii="Dubai" w:eastAsia="Dubai" w:hAnsi="Dubai" w:cs="Dubai"/>
          <w:b/>
          <w:color w:val="000000"/>
          <w:sz w:val="20"/>
          <w:szCs w:val="20"/>
        </w:rPr>
        <w:t>About Azizi Developments</w:t>
      </w:r>
    </w:p>
    <w:p w14:paraId="7CEE674A" w14:textId="77777777" w:rsidR="005667DE" w:rsidRDefault="00000000">
      <w:pPr>
        <w:spacing w:after="160" w:line="240" w:lineRule="auto"/>
        <w:jc w:val="both"/>
        <w:rPr>
          <w:rFonts w:ascii="Times New Roman" w:eastAsia="Times New Roman" w:hAnsi="Times New Roman" w:cs="Times New Roman"/>
          <w:sz w:val="24"/>
          <w:szCs w:val="24"/>
        </w:rPr>
      </w:pPr>
      <w:r>
        <w:rPr>
          <w:rFonts w:ascii="Dubai" w:eastAsia="Dubai" w:hAnsi="Dubai" w:cs="Dubai"/>
          <w:color w:val="000000"/>
          <w:sz w:val="20"/>
          <w:szCs w:val="20"/>
        </w:rPr>
        <w:t xml:space="preserve">Azizi Developments is a leading developer 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w:t>
      </w:r>
      <w:proofErr w:type="spellStart"/>
      <w:r>
        <w:rPr>
          <w:rFonts w:ascii="Dubai" w:eastAsia="Dubai" w:hAnsi="Dubai" w:cs="Dubai"/>
          <w:color w:val="000000"/>
          <w:sz w:val="20"/>
          <w:szCs w:val="20"/>
        </w:rPr>
        <w:t>catalyzing</w:t>
      </w:r>
      <w:proofErr w:type="spellEnd"/>
      <w:r>
        <w:rPr>
          <w:rFonts w:ascii="Dubai" w:eastAsia="Dubai" w:hAnsi="Dubai" w:cs="Dubai"/>
          <w:color w:val="000000"/>
          <w:sz w:val="20"/>
          <w:szCs w:val="20"/>
        </w:rPr>
        <w:t xml:space="preserve"> the vision and development of the markets that it operates in. </w:t>
      </w:r>
    </w:p>
    <w:p w14:paraId="60FD7DE3" w14:textId="77777777" w:rsidR="005667DE" w:rsidRDefault="00000000">
      <w:pPr>
        <w:spacing w:after="160" w:line="240" w:lineRule="auto"/>
        <w:jc w:val="both"/>
        <w:rPr>
          <w:rFonts w:ascii="Times New Roman" w:eastAsia="Times New Roman" w:hAnsi="Times New Roman" w:cs="Times New Roman"/>
          <w:sz w:val="24"/>
          <w:szCs w:val="24"/>
        </w:rPr>
      </w:pPr>
      <w:r>
        <w:rPr>
          <w:rFonts w:ascii="Dubai" w:eastAsia="Dubai" w:hAnsi="Dubai" w:cs="Dubai"/>
          <w:color w:val="000000"/>
          <w:sz w:val="20"/>
          <w:szCs w:val="20"/>
        </w:rPr>
        <w:t xml:space="preserve">Azizi currently has around 40,000 units under construction that are projected to be delivered by 2027, worth several billion US dollars. The company is renowned for developing the world’s second tallest skyscraper and an AED 2.5 billion opera, which is its gift to the city, as part of its cultural district at Azizi Venice. Azizi has a strong track record and sizeable project pipeline through its extensive land bank and strategic partnerships with Dubai’s key master </w:t>
      </w:r>
      <w:proofErr w:type="gramStart"/>
      <w:r>
        <w:rPr>
          <w:rFonts w:ascii="Dubai" w:eastAsia="Dubai" w:hAnsi="Dubai" w:cs="Dubai"/>
          <w:color w:val="000000"/>
          <w:sz w:val="20"/>
          <w:szCs w:val="20"/>
        </w:rPr>
        <w:t>developers, and</w:t>
      </w:r>
      <w:proofErr w:type="gramEnd"/>
      <w:r>
        <w:rPr>
          <w:rFonts w:ascii="Dubai" w:eastAsia="Dubai" w:hAnsi="Dubai" w:cs="Dubai"/>
          <w:color w:val="000000"/>
          <w:sz w:val="20"/>
          <w:szCs w:val="20"/>
        </w:rPr>
        <w:t xml:space="preserve"> is instrumental in developing world-class properties in MBR City, Palm Jumeirah, Sheikh Zayed Road, Dubai Healthcare City, Dubai South, Al </w:t>
      </w:r>
      <w:proofErr w:type="spellStart"/>
      <w:r>
        <w:rPr>
          <w:rFonts w:ascii="Dubai" w:eastAsia="Dubai" w:hAnsi="Dubai" w:cs="Dubai"/>
          <w:color w:val="000000"/>
          <w:sz w:val="20"/>
          <w:szCs w:val="20"/>
        </w:rPr>
        <w:t>Furjan</w:t>
      </w:r>
      <w:proofErr w:type="spellEnd"/>
      <w:r>
        <w:rPr>
          <w:rFonts w:ascii="Dubai" w:eastAsia="Dubai" w:hAnsi="Dubai" w:cs="Dubai"/>
          <w:color w:val="000000"/>
          <w:sz w:val="20"/>
          <w:szCs w:val="20"/>
        </w:rPr>
        <w:t>, Studio City, Sports City and Downtown Jebel Ali.</w:t>
      </w:r>
    </w:p>
    <w:p w14:paraId="77D35EFA" w14:textId="77777777" w:rsidR="005667DE" w:rsidRDefault="00000000">
      <w:pPr>
        <w:spacing w:after="160" w:line="240" w:lineRule="auto"/>
        <w:rPr>
          <w:rFonts w:ascii="Times New Roman" w:eastAsia="Times New Roman" w:hAnsi="Times New Roman" w:cs="Times New Roman"/>
          <w:b/>
          <w:sz w:val="24"/>
          <w:szCs w:val="24"/>
        </w:rPr>
      </w:pPr>
      <w:r>
        <w:rPr>
          <w:rFonts w:ascii="Dubai" w:eastAsia="Dubai" w:hAnsi="Dubai" w:cs="Dubai"/>
          <w:b/>
          <w:color w:val="000000"/>
          <w:sz w:val="20"/>
          <w:szCs w:val="20"/>
        </w:rPr>
        <w:t>For further information about Azizi Developments, please contact: </w:t>
      </w:r>
    </w:p>
    <w:p w14:paraId="02EFA425" w14:textId="77777777" w:rsidR="005667DE" w:rsidRDefault="00000000">
      <w:pPr>
        <w:spacing w:after="160" w:line="240" w:lineRule="auto"/>
        <w:rPr>
          <w:rFonts w:ascii="Times New Roman" w:eastAsia="Times New Roman" w:hAnsi="Times New Roman" w:cs="Times New Roman"/>
          <w:sz w:val="24"/>
          <w:szCs w:val="24"/>
        </w:rPr>
      </w:pPr>
      <w:r>
        <w:rPr>
          <w:rFonts w:ascii="Dubai" w:eastAsia="Dubai" w:hAnsi="Dubai" w:cs="Dubai"/>
          <w:color w:val="000000"/>
          <w:sz w:val="20"/>
          <w:szCs w:val="20"/>
        </w:rPr>
        <w:t>Tizian H. G. Raab</w:t>
      </w:r>
    </w:p>
    <w:p w14:paraId="3E78D4B7" w14:textId="77777777" w:rsidR="005667DE" w:rsidRDefault="00000000">
      <w:pPr>
        <w:spacing w:after="160" w:line="240" w:lineRule="auto"/>
        <w:rPr>
          <w:rFonts w:ascii="Times New Roman" w:eastAsia="Times New Roman" w:hAnsi="Times New Roman" w:cs="Times New Roman"/>
          <w:sz w:val="24"/>
          <w:szCs w:val="24"/>
        </w:rPr>
      </w:pPr>
      <w:r>
        <w:rPr>
          <w:rFonts w:ascii="Dubai" w:eastAsia="Dubai" w:hAnsi="Dubai" w:cs="Dubai"/>
          <w:color w:val="000000"/>
          <w:sz w:val="20"/>
          <w:szCs w:val="20"/>
        </w:rPr>
        <w:t>Head of Public Relations and Communications, CEO’s Office</w:t>
      </w:r>
    </w:p>
    <w:p w14:paraId="3C854FF1" w14:textId="77777777" w:rsidR="005667DE" w:rsidRDefault="00000000">
      <w:pPr>
        <w:spacing w:after="160" w:line="240" w:lineRule="auto"/>
        <w:rPr>
          <w:rFonts w:ascii="Times New Roman" w:eastAsia="Times New Roman" w:hAnsi="Times New Roman" w:cs="Times New Roman"/>
          <w:sz w:val="24"/>
          <w:szCs w:val="24"/>
        </w:rPr>
      </w:pPr>
      <w:r>
        <w:rPr>
          <w:rFonts w:ascii="Dubai" w:eastAsia="Dubai" w:hAnsi="Dubai" w:cs="Dubai"/>
          <w:color w:val="000000"/>
          <w:sz w:val="20"/>
          <w:szCs w:val="20"/>
        </w:rPr>
        <w:t>M: +971 55 867 3606 </w:t>
      </w:r>
    </w:p>
    <w:p w14:paraId="6158AAC3" w14:textId="77777777" w:rsidR="005667DE" w:rsidRDefault="00000000">
      <w:pPr>
        <w:spacing w:before="240" w:after="240" w:line="240" w:lineRule="auto"/>
        <w:rPr>
          <w:rFonts w:ascii="Times New Roman" w:eastAsia="Times New Roman" w:hAnsi="Times New Roman" w:cs="Times New Roman"/>
          <w:sz w:val="24"/>
          <w:szCs w:val="24"/>
        </w:rPr>
      </w:pPr>
      <w:r>
        <w:rPr>
          <w:rFonts w:ascii="Dubai" w:eastAsia="Dubai" w:hAnsi="Dubai" w:cs="Dubai"/>
          <w:color w:val="000000"/>
          <w:sz w:val="20"/>
          <w:szCs w:val="20"/>
        </w:rPr>
        <w:t xml:space="preserve">Email: </w:t>
      </w:r>
      <w:hyperlink r:id="rId7">
        <w:r w:rsidR="005667DE">
          <w:rPr>
            <w:rFonts w:ascii="Dubai" w:eastAsia="Dubai" w:hAnsi="Dubai" w:cs="Dubai"/>
            <w:color w:val="0563C1"/>
            <w:sz w:val="20"/>
            <w:szCs w:val="20"/>
            <w:u w:val="single"/>
          </w:rPr>
          <w:t>tizian@azizidevelopments.com</w:t>
        </w:r>
      </w:hyperlink>
    </w:p>
    <w:p w14:paraId="219BEF5B" w14:textId="77777777" w:rsidR="005667DE" w:rsidRDefault="005667DE">
      <w:pPr>
        <w:spacing w:after="240" w:line="240" w:lineRule="auto"/>
        <w:rPr>
          <w:rFonts w:ascii="Times New Roman" w:eastAsia="Times New Roman" w:hAnsi="Times New Roman" w:cs="Times New Roman"/>
          <w:sz w:val="24"/>
          <w:szCs w:val="24"/>
        </w:rPr>
      </w:pPr>
    </w:p>
    <w:p w14:paraId="763A3AD7" w14:textId="77777777" w:rsidR="005667DE" w:rsidRDefault="005667DE">
      <w:pPr>
        <w:spacing w:after="0" w:line="240" w:lineRule="auto"/>
        <w:rPr>
          <w:rFonts w:ascii="Times New Roman" w:eastAsia="Times New Roman" w:hAnsi="Times New Roman" w:cs="Times New Roman"/>
          <w:sz w:val="24"/>
          <w:szCs w:val="24"/>
        </w:rPr>
      </w:pPr>
    </w:p>
    <w:p w14:paraId="32F04091" w14:textId="77777777" w:rsidR="005667DE" w:rsidRDefault="005667DE">
      <w:pPr>
        <w:rPr>
          <w:rFonts w:ascii="Dubai" w:eastAsia="Dubai" w:hAnsi="Dubai" w:cs="Dubai"/>
        </w:rPr>
      </w:pPr>
    </w:p>
    <w:p w14:paraId="45E9DB42" w14:textId="77777777" w:rsidR="005667DE" w:rsidRDefault="005667DE">
      <w:pPr>
        <w:rPr>
          <w:rFonts w:ascii="Dubai" w:eastAsia="Dubai" w:hAnsi="Dubai" w:cs="Dubai"/>
        </w:rPr>
      </w:pPr>
    </w:p>
    <w:p w14:paraId="378D51FD" w14:textId="77777777" w:rsidR="005667DE" w:rsidRDefault="005667DE">
      <w:pPr>
        <w:rPr>
          <w:rFonts w:ascii="Dubai" w:eastAsia="Dubai" w:hAnsi="Dubai" w:cs="Dubai"/>
        </w:rPr>
      </w:pPr>
    </w:p>
    <w:sectPr w:rsidR="005667DE">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C7C2B" w14:textId="77777777" w:rsidR="001469EB" w:rsidRDefault="001469EB">
      <w:pPr>
        <w:spacing w:after="0" w:line="240" w:lineRule="auto"/>
      </w:pPr>
      <w:r>
        <w:separator/>
      </w:r>
    </w:p>
  </w:endnote>
  <w:endnote w:type="continuationSeparator" w:id="0">
    <w:p w14:paraId="7843671E" w14:textId="77777777" w:rsidR="001469EB" w:rsidRDefault="00146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ubai">
    <w:panose1 w:val="020B0503030403030204"/>
    <w:charset w:val="B2"/>
    <w:family w:val="swiss"/>
    <w:pitch w:val="variable"/>
    <w:sig w:usb0="80002067"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26E19" w14:textId="77777777" w:rsidR="001469EB" w:rsidRDefault="001469EB">
      <w:pPr>
        <w:spacing w:after="0" w:line="240" w:lineRule="auto"/>
      </w:pPr>
      <w:r>
        <w:separator/>
      </w:r>
    </w:p>
  </w:footnote>
  <w:footnote w:type="continuationSeparator" w:id="0">
    <w:p w14:paraId="6FFCCA85" w14:textId="77777777" w:rsidR="001469EB" w:rsidRDefault="001469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12CFB" w14:textId="77777777" w:rsidR="005667DE" w:rsidRDefault="00000000">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390E22F1" wp14:editId="6E5F4CD1">
          <wp:simplePos x="0" y="0"/>
          <wp:positionH relativeFrom="column">
            <wp:posOffset>5168900</wp:posOffset>
          </wp:positionH>
          <wp:positionV relativeFrom="paragraph">
            <wp:posOffset>-31324</wp:posOffset>
          </wp:positionV>
          <wp:extent cx="1438275" cy="361950"/>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19843" t="39222" r="21496" b="41574"/>
                  <a:stretch>
                    <a:fillRect/>
                  </a:stretch>
                </pic:blipFill>
                <pic:spPr>
                  <a:xfrm>
                    <a:off x="0" y="0"/>
                    <a:ext cx="1438275" cy="36195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5912E2E3" wp14:editId="44970D22">
          <wp:simplePos x="0" y="0"/>
          <wp:positionH relativeFrom="column">
            <wp:posOffset>-704849</wp:posOffset>
          </wp:positionH>
          <wp:positionV relativeFrom="paragraph">
            <wp:posOffset>-78315</wp:posOffset>
          </wp:positionV>
          <wp:extent cx="1682750" cy="450850"/>
          <wp:effectExtent l="0" t="0" r="0" b="0"/>
          <wp:wrapSquare wrapText="bothSides" distT="0" distB="0" distL="114300" distR="11430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682750" cy="4508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7DE"/>
    <w:rsid w:val="0006257B"/>
    <w:rsid w:val="001469EB"/>
    <w:rsid w:val="005667DE"/>
    <w:rsid w:val="00604D0D"/>
    <w:rsid w:val="0072234E"/>
    <w:rsid w:val="007C1A4B"/>
    <w:rsid w:val="00916DBF"/>
    <w:rsid w:val="00AC4004"/>
    <w:rsid w:val="00C85C47"/>
    <w:rsid w:val="00DC0B8A"/>
    <w:rsid w:val="00E60537"/>
    <w:rsid w:val="00EC692D"/>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ecimalSymbol w:val="."/>
  <w:listSeparator w:val=","/>
  <w14:docId w14:val="2E5815B9"/>
  <w15:docId w15:val="{5B192A79-6877-A048-B76E-01C8E1616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 w:type="character" w:styleId="UnresolvedMention">
    <w:name w:val="Unresolved Mention"/>
    <w:basedOn w:val="DefaultParagraphFont"/>
    <w:uiPriority w:val="99"/>
    <w:semiHidden/>
    <w:unhideWhenUsed/>
    <w:rsid w:val="006E65DA"/>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tBQaBL6cwGoKMzqo/Nr7Pi+OTQ==">CgMxLjAyCmlkLjMwajB6bGwyCWlkLmdqZGd4czgAciExSl9CV0M5bG0xR1BjZ29nV2VYWjMzclpQeFVzb0pRMEY=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3401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2024-10-29T07:00:00Z</dcterms:created>
  <dcterms:modified xsi:type="dcterms:W3CDTF">2024-10-29T07:00:00Z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